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eastAsia="方正小标宋简体"/>
          <w:kern w:val="0"/>
          <w:sz w:val="44"/>
          <w:szCs w:val="44"/>
        </w:rPr>
      </w:pPr>
      <w:r>
        <w:rPr>
          <w:rFonts w:hint="eastAsia" w:eastAsia="方正小标宋简体"/>
          <w:kern w:val="0"/>
          <w:sz w:val="44"/>
          <w:szCs w:val="44"/>
        </w:rPr>
        <w:t>四川省企业技术中心认定管理办法</w:t>
      </w:r>
    </w:p>
    <w:p>
      <w:pPr>
        <w:widowControl/>
        <w:spacing w:line="580" w:lineRule="exact"/>
        <w:jc w:val="center"/>
        <w:rPr>
          <w:kern w:val="0"/>
          <w:szCs w:val="32"/>
        </w:rPr>
      </w:pPr>
    </w:p>
    <w:p>
      <w:pPr>
        <w:widowControl/>
        <w:spacing w:line="580" w:lineRule="exact"/>
        <w:jc w:val="center"/>
        <w:rPr>
          <w:rFonts w:eastAsia="黑体"/>
          <w:kern w:val="0"/>
          <w:szCs w:val="32"/>
        </w:rPr>
      </w:pPr>
      <w:r>
        <w:rPr>
          <w:rFonts w:hint="eastAsia" w:eastAsia="黑体"/>
          <w:kern w:val="0"/>
          <w:szCs w:val="32"/>
        </w:rPr>
        <w:t>第一章 总则</w:t>
      </w:r>
    </w:p>
    <w:p>
      <w:pPr>
        <w:widowControl/>
        <w:spacing w:line="580" w:lineRule="exact"/>
        <w:ind w:firstLine="608" w:firstLineChars="200"/>
        <w:rPr>
          <w:kern w:val="0"/>
          <w:szCs w:val="32"/>
        </w:rPr>
      </w:pPr>
      <w:r>
        <w:rPr>
          <w:rFonts w:hint="eastAsia"/>
          <w:b/>
          <w:kern w:val="0"/>
          <w:szCs w:val="32"/>
        </w:rPr>
        <w:t xml:space="preserve">第一条 </w:t>
      </w:r>
      <w:r>
        <w:rPr>
          <w:rFonts w:hint="eastAsia"/>
          <w:szCs w:val="32"/>
        </w:rPr>
        <w:t>为深入实施创新驱动发展战略，进一步强化企业技术创新主体地位，引导和支持企业增强技术创新能力，健全技术创新市场导向机制，规范</w:t>
      </w:r>
      <w:r>
        <w:rPr>
          <w:rFonts w:hint="eastAsia"/>
          <w:kern w:val="0"/>
          <w:szCs w:val="32"/>
        </w:rPr>
        <w:t>四川省企业技术中心（以下称省企业技术中心）管理，依据《四川省企业技术创新条例》，并参照《国家企业技术中心认定管理办法》，特制定本办法。</w:t>
      </w:r>
    </w:p>
    <w:p>
      <w:pPr>
        <w:widowControl/>
        <w:spacing w:line="580" w:lineRule="exact"/>
        <w:ind w:firstLine="596" w:firstLineChars="196"/>
        <w:rPr>
          <w:kern w:val="0"/>
          <w:szCs w:val="32"/>
        </w:rPr>
      </w:pPr>
      <w:r>
        <w:rPr>
          <w:rFonts w:hint="eastAsia"/>
          <w:b/>
          <w:kern w:val="0"/>
          <w:szCs w:val="32"/>
        </w:rPr>
        <w:t xml:space="preserve">第二条 </w:t>
      </w:r>
      <w:r>
        <w:rPr>
          <w:rFonts w:hint="eastAsia"/>
          <w:kern w:val="0"/>
          <w:szCs w:val="32"/>
        </w:rPr>
        <w:t>本办法所指企业技术中心，是指企业根据市场竞争需要设立的技术研发与创新机构，负责制定企业技术创新规划、开展产业技术研发、创造运用知识产权、建立技术标准体系、凝聚培养创新人才、构建协同创新网络、推进技术创新全过程实施。</w:t>
      </w:r>
    </w:p>
    <w:p>
      <w:pPr>
        <w:widowControl/>
        <w:spacing w:line="580" w:lineRule="exact"/>
        <w:ind w:firstLine="608" w:firstLineChars="200"/>
        <w:rPr>
          <w:kern w:val="0"/>
          <w:szCs w:val="32"/>
        </w:rPr>
      </w:pPr>
      <w:r>
        <w:rPr>
          <w:rFonts w:hint="eastAsia"/>
          <w:b/>
          <w:kern w:val="0"/>
          <w:szCs w:val="32"/>
        </w:rPr>
        <w:t xml:space="preserve">第三条 </w:t>
      </w:r>
      <w:r>
        <w:rPr>
          <w:rFonts w:hint="eastAsia"/>
          <w:kern w:val="0"/>
          <w:szCs w:val="32"/>
        </w:rPr>
        <w:t>鼓励和支持企业建立技术中心，发挥企业在技术创新中的主体作用，建立健全企业主导产业技术研发创新的体制机制。根据创新驱动发展要求和经济结构调整需要，对创新能力强、创新机制好、引领示范作用大、符合条件的企业技术中心予以认定，并给予政策支持，鼓励引导行业骨干企业带动产业技术进步和创新能力提高。</w:t>
      </w:r>
    </w:p>
    <w:p>
      <w:pPr>
        <w:widowControl/>
        <w:spacing w:line="580" w:lineRule="exact"/>
        <w:ind w:firstLine="608" w:firstLineChars="200"/>
        <w:rPr>
          <w:kern w:val="0"/>
          <w:szCs w:val="32"/>
        </w:rPr>
      </w:pPr>
      <w:r>
        <w:rPr>
          <w:rFonts w:hint="eastAsia"/>
          <w:b/>
          <w:kern w:val="0"/>
          <w:szCs w:val="32"/>
        </w:rPr>
        <w:t xml:space="preserve">第四条 </w:t>
      </w:r>
      <w:r>
        <w:rPr>
          <w:rFonts w:hint="eastAsia"/>
          <w:kern w:val="0"/>
          <w:szCs w:val="32"/>
        </w:rPr>
        <w:t>四川省经济和信息化委员会（以下称省经济和信息化委）、四川省发展和改革委员会（以下简称省发展改革委）、四川省科学技术厅（以下称科技厅）、四川省财政厅（以下称财政厅）、四川省地方税务局（以下称省地税局）、中华人民共和国成都海关（以下称成都海关）负责指导协调省企业技术中心相关工作。省经济和信息化委牵头开展省企业技术中心的认定与运行评价。</w:t>
      </w:r>
    </w:p>
    <w:p>
      <w:pPr>
        <w:widowControl/>
        <w:spacing w:line="580" w:lineRule="exact"/>
        <w:ind w:firstLine="608" w:firstLineChars="200"/>
        <w:jc w:val="left"/>
        <w:rPr>
          <w:kern w:val="0"/>
          <w:szCs w:val="32"/>
        </w:rPr>
      </w:pPr>
      <w:r>
        <w:rPr>
          <w:rFonts w:hint="eastAsia"/>
          <w:kern w:val="0"/>
          <w:szCs w:val="32"/>
        </w:rPr>
        <w:t>各市（州）</w:t>
      </w:r>
      <w:r>
        <w:rPr>
          <w:rFonts w:hint="eastAsia"/>
          <w:szCs w:val="32"/>
        </w:rPr>
        <w:t>或扩权试点县</w:t>
      </w:r>
      <w:r>
        <w:rPr>
          <w:rFonts w:hint="eastAsia"/>
          <w:kern w:val="0"/>
          <w:szCs w:val="32"/>
        </w:rPr>
        <w:t>主管部门，负责省企业技术中心的申报、管理等事项。</w:t>
      </w:r>
    </w:p>
    <w:p>
      <w:pPr>
        <w:widowControl/>
        <w:spacing w:line="580" w:lineRule="exact"/>
        <w:ind w:firstLine="608" w:firstLineChars="200"/>
        <w:jc w:val="left"/>
        <w:rPr>
          <w:kern w:val="0"/>
          <w:szCs w:val="32"/>
        </w:rPr>
      </w:pPr>
    </w:p>
    <w:p>
      <w:pPr>
        <w:widowControl/>
        <w:spacing w:line="580" w:lineRule="exact"/>
        <w:ind w:firstLine="76" w:firstLineChars="25"/>
        <w:jc w:val="center"/>
        <w:rPr>
          <w:rFonts w:eastAsia="黑体"/>
          <w:kern w:val="0"/>
          <w:szCs w:val="32"/>
        </w:rPr>
      </w:pPr>
      <w:r>
        <w:rPr>
          <w:rFonts w:hint="eastAsia" w:eastAsia="黑体"/>
          <w:kern w:val="0"/>
          <w:szCs w:val="32"/>
        </w:rPr>
        <w:t>第二章 省企业技术中心认定</w:t>
      </w:r>
    </w:p>
    <w:p>
      <w:pPr>
        <w:widowControl/>
        <w:spacing w:line="580" w:lineRule="exact"/>
        <w:ind w:firstLine="608" w:firstLineChars="200"/>
        <w:jc w:val="left"/>
        <w:rPr>
          <w:kern w:val="0"/>
          <w:szCs w:val="32"/>
        </w:rPr>
      </w:pPr>
      <w:r>
        <w:rPr>
          <w:rFonts w:hint="eastAsia"/>
          <w:b/>
          <w:kern w:val="0"/>
          <w:szCs w:val="32"/>
        </w:rPr>
        <w:t xml:space="preserve">第五条 </w:t>
      </w:r>
      <w:r>
        <w:rPr>
          <w:rFonts w:hint="eastAsia"/>
          <w:kern w:val="0"/>
          <w:szCs w:val="32"/>
        </w:rPr>
        <w:t>省企业技术中心的认定，原则上每年进行一次。各市（州）</w:t>
      </w:r>
      <w:r>
        <w:rPr>
          <w:rFonts w:hint="eastAsia"/>
          <w:szCs w:val="32"/>
        </w:rPr>
        <w:t>或扩权试点县</w:t>
      </w:r>
      <w:r>
        <w:rPr>
          <w:rFonts w:hint="eastAsia"/>
          <w:kern w:val="0"/>
          <w:szCs w:val="32"/>
        </w:rPr>
        <w:t>主管部门根据省经济和信息化委通知要求报送申报材料。</w:t>
      </w:r>
    </w:p>
    <w:p>
      <w:pPr>
        <w:widowControl/>
        <w:spacing w:line="580" w:lineRule="exact"/>
        <w:ind w:firstLine="555"/>
        <w:jc w:val="left"/>
        <w:rPr>
          <w:kern w:val="0"/>
          <w:szCs w:val="32"/>
        </w:rPr>
      </w:pPr>
      <w:r>
        <w:rPr>
          <w:rFonts w:hint="eastAsia"/>
          <w:b/>
          <w:kern w:val="0"/>
          <w:szCs w:val="32"/>
        </w:rPr>
        <w:t xml:space="preserve">第六条 </w:t>
      </w:r>
      <w:r>
        <w:rPr>
          <w:rFonts w:hint="eastAsia"/>
          <w:kern w:val="0"/>
          <w:szCs w:val="32"/>
        </w:rPr>
        <w:t>申请省企业技术中心的企业应当具备以下基本条件：</w:t>
      </w:r>
    </w:p>
    <w:p>
      <w:pPr>
        <w:spacing w:line="580" w:lineRule="exact"/>
        <w:ind w:firstLine="608" w:firstLineChars="200"/>
        <w:rPr>
          <w:kern w:val="0"/>
          <w:szCs w:val="32"/>
        </w:rPr>
      </w:pPr>
      <w:r>
        <w:rPr>
          <w:rFonts w:hint="eastAsia"/>
          <w:kern w:val="0"/>
          <w:szCs w:val="32"/>
        </w:rPr>
        <w:t>（一）四川省行政区域内注册，具有独立法人资格的企业；</w:t>
      </w:r>
    </w:p>
    <w:p>
      <w:pPr>
        <w:spacing w:line="580" w:lineRule="exact"/>
        <w:ind w:firstLine="608" w:firstLineChars="200"/>
        <w:rPr>
          <w:szCs w:val="32"/>
        </w:rPr>
      </w:pPr>
      <w:r>
        <w:rPr>
          <w:rFonts w:hint="eastAsia"/>
          <w:kern w:val="0"/>
          <w:szCs w:val="32"/>
        </w:rPr>
        <w:t>（二）</w:t>
      </w:r>
      <w:r>
        <w:rPr>
          <w:rFonts w:hint="eastAsia"/>
          <w:szCs w:val="32"/>
        </w:rPr>
        <w:t>企业在行业中具有显著的发展优势和竞争优势，具有较强的技术创新能力和水平；</w:t>
      </w:r>
    </w:p>
    <w:p>
      <w:pPr>
        <w:spacing w:line="580" w:lineRule="exact"/>
        <w:ind w:firstLine="608" w:firstLineChars="200"/>
        <w:rPr>
          <w:szCs w:val="32"/>
        </w:rPr>
      </w:pPr>
      <w:r>
        <w:rPr>
          <w:rFonts w:hint="eastAsia"/>
          <w:kern w:val="0"/>
          <w:szCs w:val="32"/>
        </w:rPr>
        <w:t>（三）</w:t>
      </w:r>
      <w:r>
        <w:rPr>
          <w:rFonts w:hint="eastAsia"/>
          <w:szCs w:val="32"/>
        </w:rPr>
        <w:t>企业具有较好的技术创新机制，企业技术中心组织体系健全，创新效率高、创新效益好；</w:t>
      </w:r>
    </w:p>
    <w:p>
      <w:pPr>
        <w:spacing w:line="580" w:lineRule="exact"/>
        <w:ind w:firstLine="608" w:firstLineChars="200"/>
        <w:rPr>
          <w:szCs w:val="32"/>
        </w:rPr>
      </w:pPr>
      <w:r>
        <w:rPr>
          <w:rFonts w:hint="eastAsia"/>
          <w:kern w:val="0"/>
          <w:szCs w:val="32"/>
        </w:rPr>
        <w:t>（四）</w:t>
      </w:r>
      <w:r>
        <w:rPr>
          <w:rFonts w:hint="eastAsia"/>
          <w:szCs w:val="32"/>
        </w:rPr>
        <w:t>有较高的研究开发投入，年度研究与试验发展经费支出额不低于</w:t>
      </w:r>
      <w:r>
        <w:rPr>
          <w:szCs w:val="32"/>
        </w:rPr>
        <w:t>300</w:t>
      </w:r>
      <w:r>
        <w:rPr>
          <w:rFonts w:hint="eastAsia"/>
          <w:szCs w:val="32"/>
        </w:rPr>
        <w:t>万元；拥有技术水平高、实践经验丰富的技术带头人，专职研究与试验发展人员数不少于</w:t>
      </w:r>
      <w:r>
        <w:rPr>
          <w:szCs w:val="32"/>
        </w:rPr>
        <w:t>30</w:t>
      </w:r>
      <w:r>
        <w:rPr>
          <w:rFonts w:hint="eastAsia"/>
          <w:szCs w:val="32"/>
        </w:rPr>
        <w:t>人；研发投入及研究与试验发展人员数不低于行业平均水平。</w:t>
      </w:r>
    </w:p>
    <w:p>
      <w:pPr>
        <w:spacing w:line="580" w:lineRule="exact"/>
        <w:ind w:firstLine="608" w:firstLineChars="200"/>
        <w:rPr>
          <w:szCs w:val="32"/>
        </w:rPr>
      </w:pPr>
      <w:r>
        <w:rPr>
          <w:rFonts w:hint="eastAsia"/>
          <w:kern w:val="0"/>
          <w:szCs w:val="32"/>
        </w:rPr>
        <w:t>（五）</w:t>
      </w:r>
      <w:r>
        <w:rPr>
          <w:rFonts w:hint="eastAsia"/>
          <w:szCs w:val="32"/>
        </w:rPr>
        <w:t>具有较完善的研究、开发、试验条件，技术开发仪器设备原值不低于</w:t>
      </w:r>
      <w:r>
        <w:rPr>
          <w:szCs w:val="32"/>
        </w:rPr>
        <w:t>300</w:t>
      </w:r>
      <w:r>
        <w:rPr>
          <w:rFonts w:hint="eastAsia"/>
          <w:szCs w:val="32"/>
        </w:rPr>
        <w:t>万元；有较好的技术积累，重视前沿技术开发，具有开展高水平技术创新活动的能力；</w:t>
      </w:r>
    </w:p>
    <w:p>
      <w:pPr>
        <w:widowControl/>
        <w:spacing w:line="560" w:lineRule="exact"/>
        <w:ind w:firstLine="608" w:firstLineChars="200"/>
        <w:rPr>
          <w:kern w:val="0"/>
          <w:szCs w:val="32"/>
        </w:rPr>
      </w:pPr>
      <w:r>
        <w:rPr>
          <w:rFonts w:hint="eastAsia"/>
          <w:kern w:val="0"/>
          <w:szCs w:val="32"/>
        </w:rPr>
        <w:t>（六）已组建企业技术中心并正常运行一年以上。所在市州已开展市企业技术中心认定工作的企业原则上应具有市级企业技术中心认定。</w:t>
      </w:r>
    </w:p>
    <w:p>
      <w:pPr>
        <w:widowControl/>
        <w:spacing w:line="560" w:lineRule="exact"/>
        <w:ind w:firstLine="555"/>
        <w:jc w:val="left"/>
        <w:rPr>
          <w:szCs w:val="32"/>
        </w:rPr>
      </w:pPr>
      <w:r>
        <w:rPr>
          <w:rFonts w:hint="eastAsia"/>
          <w:szCs w:val="32"/>
        </w:rPr>
        <w:t>（七）企业在申请受理截止日期前三年内，不得存在下列情况：</w:t>
      </w:r>
    </w:p>
    <w:p>
      <w:pPr>
        <w:spacing w:line="560" w:lineRule="exact"/>
        <w:ind w:firstLine="608" w:firstLineChars="200"/>
        <w:rPr>
          <w:szCs w:val="32"/>
        </w:rPr>
      </w:pPr>
      <w:r>
        <w:rPr>
          <w:szCs w:val="32"/>
        </w:rPr>
        <w:t>1</w:t>
      </w:r>
      <w:r>
        <w:rPr>
          <w:rFonts w:hint="eastAsia"/>
          <w:szCs w:val="32"/>
        </w:rPr>
        <w:t>. 因违反税收征管法及有关法律、行政法规，构成偷税、骗取出口退税等严重税收违法行为；</w:t>
      </w:r>
      <w:r>
        <w:rPr>
          <w:szCs w:val="32"/>
        </w:rPr>
        <w:t xml:space="preserve"> </w:t>
      </w:r>
    </w:p>
    <w:p>
      <w:pPr>
        <w:spacing w:line="560" w:lineRule="exact"/>
        <w:ind w:firstLine="608" w:firstLineChars="200"/>
        <w:rPr>
          <w:szCs w:val="32"/>
        </w:rPr>
      </w:pPr>
      <w:r>
        <w:rPr>
          <w:szCs w:val="32"/>
        </w:rPr>
        <w:t>2</w:t>
      </w:r>
      <w:r>
        <w:rPr>
          <w:rFonts w:hint="eastAsia"/>
          <w:szCs w:val="32"/>
        </w:rPr>
        <w:t>. 因违反海关法及有关法律、行政法规，构成走私行为，受到刑事、行政处罚，或因严重违反海关监管规定受到行政处罚；</w:t>
      </w:r>
    </w:p>
    <w:p>
      <w:pPr>
        <w:spacing w:line="560" w:lineRule="exact"/>
        <w:ind w:firstLine="608" w:firstLineChars="200"/>
        <w:rPr>
          <w:szCs w:val="32"/>
        </w:rPr>
      </w:pPr>
      <w:r>
        <w:rPr>
          <w:szCs w:val="32"/>
        </w:rPr>
        <w:t>3</w:t>
      </w:r>
      <w:r>
        <w:rPr>
          <w:rFonts w:hint="eastAsia"/>
          <w:szCs w:val="32"/>
        </w:rPr>
        <w:t>. 司法、行政机关认定的其他严重违法失信行为。</w:t>
      </w:r>
    </w:p>
    <w:p>
      <w:pPr>
        <w:widowControl/>
        <w:spacing w:line="560" w:lineRule="exact"/>
        <w:ind w:firstLine="456" w:firstLineChars="150"/>
        <w:rPr>
          <w:kern w:val="0"/>
          <w:szCs w:val="32"/>
        </w:rPr>
      </w:pPr>
      <w:r>
        <w:rPr>
          <w:rFonts w:hint="eastAsia"/>
          <w:kern w:val="0"/>
          <w:szCs w:val="32"/>
        </w:rPr>
        <w:t>（八）对新形势下新业态、新模式企业适当放宽指标要求。</w:t>
      </w:r>
    </w:p>
    <w:p>
      <w:pPr>
        <w:widowControl/>
        <w:spacing w:line="560" w:lineRule="exact"/>
        <w:ind w:firstLine="555"/>
        <w:rPr>
          <w:kern w:val="0"/>
          <w:szCs w:val="32"/>
        </w:rPr>
      </w:pPr>
      <w:r>
        <w:rPr>
          <w:rFonts w:hint="eastAsia"/>
          <w:b/>
          <w:kern w:val="0"/>
          <w:szCs w:val="32"/>
        </w:rPr>
        <w:t xml:space="preserve">第七条 </w:t>
      </w:r>
      <w:r>
        <w:rPr>
          <w:rFonts w:hint="eastAsia"/>
          <w:kern w:val="0"/>
          <w:szCs w:val="32"/>
        </w:rPr>
        <w:t>省企业技术中心认定程序：</w:t>
      </w:r>
    </w:p>
    <w:p>
      <w:pPr>
        <w:widowControl/>
        <w:spacing w:line="560" w:lineRule="exact"/>
        <w:ind w:firstLine="608" w:firstLineChars="200"/>
        <w:rPr>
          <w:kern w:val="0"/>
          <w:szCs w:val="32"/>
        </w:rPr>
      </w:pPr>
      <w:r>
        <w:rPr>
          <w:rFonts w:hint="eastAsia"/>
          <w:kern w:val="0"/>
          <w:szCs w:val="32"/>
        </w:rPr>
        <w:t>（一）企业向市（州）</w:t>
      </w:r>
      <w:r>
        <w:rPr>
          <w:rFonts w:hint="eastAsia"/>
          <w:szCs w:val="32"/>
        </w:rPr>
        <w:t>或扩权试点县</w:t>
      </w:r>
      <w:r>
        <w:rPr>
          <w:rFonts w:hint="eastAsia"/>
          <w:kern w:val="0"/>
          <w:szCs w:val="32"/>
        </w:rPr>
        <w:t>主管部门提出申请并按要求上报申请材料，申请材料包括：《四川省企业技术中心申请报告》（以下简称申请报告）和《四川省企业技术中心评价表》及必要的证明材料。</w:t>
      </w:r>
    </w:p>
    <w:p>
      <w:pPr>
        <w:widowControl/>
        <w:spacing w:line="560" w:lineRule="exact"/>
        <w:ind w:firstLine="608" w:firstLineChars="200"/>
        <w:rPr>
          <w:kern w:val="0"/>
          <w:szCs w:val="32"/>
        </w:rPr>
      </w:pPr>
      <w:r>
        <w:rPr>
          <w:rFonts w:hint="eastAsia"/>
          <w:kern w:val="0"/>
          <w:szCs w:val="32"/>
        </w:rPr>
        <w:t>（二）</w:t>
      </w:r>
      <w:r>
        <w:rPr>
          <w:kern w:val="0"/>
          <w:szCs w:val="32"/>
        </w:rPr>
        <w:t xml:space="preserve"> </w:t>
      </w:r>
      <w:r>
        <w:rPr>
          <w:rFonts w:hint="eastAsia"/>
          <w:kern w:val="0"/>
          <w:szCs w:val="32"/>
        </w:rPr>
        <w:t>各市（州）</w:t>
      </w:r>
      <w:r>
        <w:rPr>
          <w:rFonts w:hint="eastAsia"/>
          <w:szCs w:val="32"/>
        </w:rPr>
        <w:t>或扩权试点县</w:t>
      </w:r>
      <w:r>
        <w:rPr>
          <w:rFonts w:hint="eastAsia"/>
          <w:kern w:val="0"/>
          <w:szCs w:val="32"/>
        </w:rPr>
        <w:t>主管部门对企业上报的申请材料进行审查，按照本办法及当年省经济和信息化委发布的通知，确定推荐企业名单，并将推荐企业的申请材料和审查意见（一式两份）在规定的时间内上报省经济和信息化委。</w:t>
      </w:r>
    </w:p>
    <w:p>
      <w:pPr>
        <w:widowControl/>
        <w:spacing w:line="560" w:lineRule="exact"/>
        <w:ind w:firstLine="608" w:firstLineChars="200"/>
        <w:rPr>
          <w:kern w:val="0"/>
          <w:szCs w:val="32"/>
        </w:rPr>
      </w:pPr>
      <w:r>
        <w:rPr>
          <w:rFonts w:hint="eastAsia"/>
          <w:kern w:val="0"/>
          <w:szCs w:val="32"/>
        </w:rPr>
        <w:t>（三）省经济和信息化委组织专家或委托第三方机构，按照评价指标体系对企业申请材料进行初评。</w:t>
      </w:r>
    </w:p>
    <w:p>
      <w:pPr>
        <w:widowControl/>
        <w:spacing w:line="560" w:lineRule="exact"/>
        <w:ind w:firstLine="608" w:firstLineChars="200"/>
        <w:rPr>
          <w:kern w:val="0"/>
          <w:szCs w:val="32"/>
        </w:rPr>
      </w:pPr>
      <w:r>
        <w:rPr>
          <w:rFonts w:hint="eastAsia"/>
          <w:kern w:val="0"/>
          <w:szCs w:val="32"/>
        </w:rPr>
        <w:t>（四）依据初评结果，省经济和信息化委组织专家或委托第三方机构组织专家对初评合格的企业技术中心进行评审，确定省企业技术中心初步名单。</w:t>
      </w:r>
    </w:p>
    <w:p>
      <w:pPr>
        <w:widowControl/>
        <w:spacing w:line="580" w:lineRule="exact"/>
        <w:ind w:firstLine="645"/>
        <w:rPr>
          <w:kern w:val="0"/>
          <w:szCs w:val="32"/>
        </w:rPr>
      </w:pPr>
      <w:r>
        <w:rPr>
          <w:rFonts w:hint="eastAsia"/>
          <w:kern w:val="0"/>
          <w:szCs w:val="32"/>
        </w:rPr>
        <w:t>（五）依据初评、专家评审结果，省经济和信息化委会同省发展改革委、科技厅、财政厅、省地税局、成都海关对申请认定企业进行现场核查。</w:t>
      </w:r>
    </w:p>
    <w:p>
      <w:pPr>
        <w:widowControl/>
        <w:spacing w:line="580" w:lineRule="exact"/>
        <w:ind w:firstLine="645"/>
        <w:rPr>
          <w:kern w:val="0"/>
          <w:szCs w:val="32"/>
        </w:rPr>
      </w:pPr>
      <w:r>
        <w:rPr>
          <w:rFonts w:hint="eastAsia"/>
          <w:kern w:val="0"/>
          <w:szCs w:val="32"/>
        </w:rPr>
        <w:t>（六）省经济和信息化委会同省发展改革委、科技厅、财政厅、省地税局、成都海关依据国家产业政策、初评结果、专家评审意见及现场抽查核实情况等进行综合评估后，择优确定省企业技术中心名单。</w:t>
      </w:r>
    </w:p>
    <w:p>
      <w:pPr>
        <w:widowControl/>
        <w:spacing w:line="580" w:lineRule="exact"/>
        <w:ind w:firstLine="555"/>
        <w:rPr>
          <w:kern w:val="0"/>
          <w:szCs w:val="32"/>
        </w:rPr>
      </w:pPr>
      <w:r>
        <w:rPr>
          <w:rFonts w:hint="eastAsia"/>
          <w:b/>
          <w:kern w:val="0"/>
          <w:szCs w:val="32"/>
        </w:rPr>
        <w:t xml:space="preserve">第八条 </w:t>
      </w:r>
      <w:r>
        <w:rPr>
          <w:rFonts w:hint="eastAsia"/>
          <w:kern w:val="0"/>
          <w:szCs w:val="32"/>
        </w:rPr>
        <w:t>省经济和信息化委会同省发展改革委、科技厅、财政厅、省地税局、成都海关根据确认认定结果进行公示、联合发文，并在省经济和信息化委官方网站予以公布。</w:t>
      </w:r>
    </w:p>
    <w:p>
      <w:pPr>
        <w:widowControl/>
        <w:spacing w:line="580" w:lineRule="exact"/>
        <w:ind w:firstLine="555"/>
        <w:rPr>
          <w:kern w:val="0"/>
          <w:szCs w:val="32"/>
        </w:rPr>
      </w:pPr>
    </w:p>
    <w:p>
      <w:pPr>
        <w:widowControl/>
        <w:spacing w:line="580" w:lineRule="exact"/>
        <w:jc w:val="center"/>
        <w:rPr>
          <w:rFonts w:eastAsia="黑体"/>
          <w:kern w:val="0"/>
          <w:szCs w:val="32"/>
        </w:rPr>
      </w:pPr>
      <w:r>
        <w:rPr>
          <w:rFonts w:hint="eastAsia" w:eastAsia="黑体"/>
          <w:kern w:val="0"/>
          <w:szCs w:val="32"/>
        </w:rPr>
        <w:t>第三章 运行评价</w:t>
      </w:r>
    </w:p>
    <w:p>
      <w:pPr>
        <w:spacing w:line="580" w:lineRule="exact"/>
        <w:ind w:firstLine="605" w:firstLineChars="199"/>
        <w:rPr>
          <w:kern w:val="0"/>
          <w:szCs w:val="32"/>
        </w:rPr>
      </w:pPr>
      <w:r>
        <w:rPr>
          <w:rFonts w:hint="eastAsia"/>
          <w:b/>
          <w:kern w:val="0"/>
          <w:szCs w:val="32"/>
        </w:rPr>
        <w:t xml:space="preserve">第九条 </w:t>
      </w:r>
      <w:r>
        <w:rPr>
          <w:rFonts w:hint="eastAsia"/>
          <w:kern w:val="0"/>
          <w:szCs w:val="32"/>
        </w:rPr>
        <w:t>省经济和信息化委对省企业技术中心每两年组织一次运行评价。</w:t>
      </w:r>
    </w:p>
    <w:p>
      <w:pPr>
        <w:spacing w:line="580" w:lineRule="exact"/>
        <w:ind w:firstLine="608" w:firstLineChars="200"/>
        <w:rPr>
          <w:kern w:val="0"/>
          <w:szCs w:val="32"/>
        </w:rPr>
      </w:pPr>
      <w:r>
        <w:rPr>
          <w:rFonts w:hint="eastAsia"/>
          <w:kern w:val="0"/>
          <w:szCs w:val="32"/>
        </w:rPr>
        <w:t>省企业技术中心在评价当年自查、总结后，报送评价材料。对运行评价按认定标准执行，评价材料主要包括《四川省企业技术中心工作总结》、《四川省企业技术中心评价表》及必要的证明材料。</w:t>
      </w:r>
    </w:p>
    <w:p>
      <w:pPr>
        <w:spacing w:line="580" w:lineRule="exact"/>
        <w:ind w:firstLine="608" w:firstLineChars="200"/>
        <w:rPr>
          <w:szCs w:val="32"/>
        </w:rPr>
      </w:pPr>
      <w:r>
        <w:rPr>
          <w:rFonts w:hint="eastAsia"/>
          <w:szCs w:val="32"/>
        </w:rPr>
        <w:t>母公司在报送评价材料时，需对下属具有省级企业技术中心认定的子公司相关数据作出说明。</w:t>
      </w:r>
    </w:p>
    <w:p>
      <w:pPr>
        <w:spacing w:line="580" w:lineRule="exact"/>
        <w:ind w:firstLine="608" w:firstLineChars="200"/>
        <w:rPr>
          <w:kern w:val="0"/>
          <w:szCs w:val="32"/>
        </w:rPr>
      </w:pPr>
      <w:r>
        <w:rPr>
          <w:rFonts w:hint="eastAsia"/>
          <w:b/>
          <w:szCs w:val="32"/>
        </w:rPr>
        <w:t xml:space="preserve">第十条 </w:t>
      </w:r>
      <w:r>
        <w:rPr>
          <w:rFonts w:hint="eastAsia"/>
          <w:szCs w:val="32"/>
        </w:rPr>
        <w:t>各企业对技术中心评价材料真实性出具意见，并于评价年度的</w:t>
      </w:r>
      <w:r>
        <w:rPr>
          <w:szCs w:val="32"/>
        </w:rPr>
        <w:t>4</w:t>
      </w:r>
      <w:r>
        <w:rPr>
          <w:rFonts w:hint="eastAsia"/>
          <w:szCs w:val="32"/>
        </w:rPr>
        <w:t>月</w:t>
      </w:r>
      <w:r>
        <w:rPr>
          <w:szCs w:val="32"/>
        </w:rPr>
        <w:t>30</w:t>
      </w:r>
      <w:r>
        <w:rPr>
          <w:rFonts w:hint="eastAsia"/>
          <w:szCs w:val="32"/>
        </w:rPr>
        <w:t>日前报送到各市（州）或扩权试点县主管部门，各市（州）或扩权试点县主管部门对企业的评价材料进行审查，出具审查意见并于</w:t>
      </w:r>
      <w:r>
        <w:rPr>
          <w:szCs w:val="32"/>
        </w:rPr>
        <w:t>5</w:t>
      </w:r>
      <w:r>
        <w:rPr>
          <w:rFonts w:hint="eastAsia"/>
          <w:szCs w:val="32"/>
        </w:rPr>
        <w:t>月</w:t>
      </w:r>
      <w:r>
        <w:rPr>
          <w:szCs w:val="32"/>
        </w:rPr>
        <w:t>15</w:t>
      </w:r>
      <w:r>
        <w:rPr>
          <w:rFonts w:hint="eastAsia"/>
          <w:szCs w:val="32"/>
        </w:rPr>
        <w:t>日前将评价材料报送</w:t>
      </w:r>
      <w:r>
        <w:rPr>
          <w:rFonts w:hint="eastAsia"/>
          <w:kern w:val="0"/>
          <w:szCs w:val="32"/>
        </w:rPr>
        <w:t>省经济和信息化委。</w:t>
      </w:r>
    </w:p>
    <w:p>
      <w:pPr>
        <w:spacing w:line="580" w:lineRule="exact"/>
        <w:ind w:firstLine="596" w:firstLineChars="196"/>
        <w:rPr>
          <w:kern w:val="0"/>
          <w:szCs w:val="32"/>
        </w:rPr>
      </w:pPr>
      <w:r>
        <w:rPr>
          <w:rFonts w:hint="eastAsia"/>
          <w:b/>
          <w:kern w:val="0"/>
          <w:szCs w:val="32"/>
        </w:rPr>
        <w:t xml:space="preserve">第十一条 </w:t>
      </w:r>
      <w:r>
        <w:rPr>
          <w:rFonts w:hint="eastAsia"/>
          <w:kern w:val="0"/>
          <w:szCs w:val="32"/>
        </w:rPr>
        <w:t>省经济和信息化委委托第三方机构，依据评价指标体系</w:t>
      </w:r>
      <w:r>
        <w:rPr>
          <w:rFonts w:hint="eastAsia"/>
          <w:szCs w:val="32"/>
        </w:rPr>
        <w:t>对各市（州）或扩权试点县主管部门报送的评价材料进行评价，并形成评价</w:t>
      </w:r>
      <w:r>
        <w:rPr>
          <w:rFonts w:hint="eastAsia"/>
          <w:kern w:val="0"/>
          <w:szCs w:val="32"/>
        </w:rPr>
        <w:t>结果和评价报告。</w:t>
      </w:r>
    </w:p>
    <w:p>
      <w:pPr>
        <w:spacing w:line="580" w:lineRule="exact"/>
        <w:ind w:firstLine="608" w:firstLineChars="200"/>
        <w:rPr>
          <w:szCs w:val="32"/>
        </w:rPr>
      </w:pPr>
      <w:r>
        <w:rPr>
          <w:rFonts w:hint="eastAsia"/>
          <w:kern w:val="0"/>
          <w:szCs w:val="32"/>
        </w:rPr>
        <w:t>省经济和信息化委每年对省企业技术中心运行情况随机抽查，抽查按“双随机一公开”的办法。</w:t>
      </w:r>
    </w:p>
    <w:p>
      <w:pPr>
        <w:spacing w:line="580" w:lineRule="exact"/>
        <w:ind w:firstLine="596" w:firstLineChars="196"/>
        <w:rPr>
          <w:szCs w:val="32"/>
        </w:rPr>
      </w:pPr>
      <w:r>
        <w:rPr>
          <w:rFonts w:hint="eastAsia"/>
          <w:b/>
          <w:kern w:val="0"/>
          <w:szCs w:val="32"/>
        </w:rPr>
        <w:t xml:space="preserve">第十二条 </w:t>
      </w:r>
      <w:r>
        <w:rPr>
          <w:rFonts w:hint="eastAsia"/>
          <w:kern w:val="0"/>
          <w:szCs w:val="32"/>
        </w:rPr>
        <w:t>省企业技术中心评价结果</w:t>
      </w:r>
      <w:r>
        <w:rPr>
          <w:rFonts w:hint="eastAsia"/>
          <w:szCs w:val="32"/>
        </w:rPr>
        <w:t>分为优秀、良好、基本合格和不合格：</w:t>
      </w:r>
    </w:p>
    <w:p>
      <w:pPr>
        <w:spacing w:line="580" w:lineRule="exact"/>
        <w:ind w:firstLine="760" w:firstLineChars="250"/>
        <w:rPr>
          <w:szCs w:val="32"/>
        </w:rPr>
      </w:pPr>
      <w:r>
        <w:rPr>
          <w:rFonts w:hint="eastAsia"/>
          <w:szCs w:val="32"/>
        </w:rPr>
        <w:t>（一）评价得分</w:t>
      </w:r>
      <w:r>
        <w:rPr>
          <w:szCs w:val="32"/>
        </w:rPr>
        <w:t>90</w:t>
      </w:r>
      <w:r>
        <w:rPr>
          <w:rFonts w:hint="eastAsia"/>
          <w:szCs w:val="32"/>
        </w:rPr>
        <w:t>分及以上为优秀；</w:t>
      </w:r>
    </w:p>
    <w:p>
      <w:pPr>
        <w:spacing w:line="580" w:lineRule="exact"/>
        <w:ind w:firstLine="760" w:firstLineChars="250"/>
        <w:rPr>
          <w:szCs w:val="32"/>
        </w:rPr>
      </w:pPr>
      <w:r>
        <w:rPr>
          <w:rFonts w:hint="eastAsia"/>
          <w:szCs w:val="32"/>
        </w:rPr>
        <w:t>（二）评价得分</w:t>
      </w:r>
      <w:r>
        <w:rPr>
          <w:szCs w:val="32"/>
        </w:rPr>
        <w:t xml:space="preserve">65 </w:t>
      </w:r>
      <w:r>
        <w:rPr>
          <w:rFonts w:hint="eastAsia"/>
          <w:szCs w:val="32"/>
        </w:rPr>
        <w:t>分至</w:t>
      </w:r>
      <w:r>
        <w:rPr>
          <w:szCs w:val="32"/>
        </w:rPr>
        <w:t>90</w:t>
      </w:r>
      <w:r>
        <w:rPr>
          <w:rFonts w:hint="eastAsia"/>
          <w:szCs w:val="32"/>
        </w:rPr>
        <w:t>分（不含</w:t>
      </w:r>
      <w:r>
        <w:rPr>
          <w:szCs w:val="32"/>
        </w:rPr>
        <w:t>90</w:t>
      </w:r>
      <w:r>
        <w:rPr>
          <w:rFonts w:hint="eastAsia"/>
          <w:szCs w:val="32"/>
        </w:rPr>
        <w:t>分）为良好；</w:t>
      </w:r>
    </w:p>
    <w:p>
      <w:pPr>
        <w:spacing w:line="580" w:lineRule="exact"/>
        <w:ind w:firstLine="760" w:firstLineChars="250"/>
        <w:rPr>
          <w:szCs w:val="32"/>
        </w:rPr>
      </w:pPr>
      <w:r>
        <w:rPr>
          <w:rFonts w:hint="eastAsia"/>
          <w:szCs w:val="32"/>
        </w:rPr>
        <w:t>（三）评价得分</w:t>
      </w:r>
      <w:r>
        <w:rPr>
          <w:szCs w:val="32"/>
        </w:rPr>
        <w:t>60</w:t>
      </w:r>
      <w:r>
        <w:rPr>
          <w:rFonts w:hint="eastAsia"/>
          <w:szCs w:val="32"/>
        </w:rPr>
        <w:t>分至</w:t>
      </w:r>
      <w:r>
        <w:rPr>
          <w:szCs w:val="32"/>
        </w:rPr>
        <w:t>65</w:t>
      </w:r>
      <w:r>
        <w:rPr>
          <w:rFonts w:hint="eastAsia"/>
          <w:szCs w:val="32"/>
        </w:rPr>
        <w:t>分，（不含</w:t>
      </w:r>
      <w:r>
        <w:rPr>
          <w:szCs w:val="32"/>
        </w:rPr>
        <w:t>65</w:t>
      </w:r>
      <w:r>
        <w:rPr>
          <w:rFonts w:hint="eastAsia"/>
          <w:szCs w:val="32"/>
        </w:rPr>
        <w:t>分）为基本合格；</w:t>
      </w:r>
    </w:p>
    <w:p>
      <w:pPr>
        <w:spacing w:line="580" w:lineRule="exact"/>
        <w:ind w:firstLine="760" w:firstLineChars="250"/>
        <w:rPr>
          <w:szCs w:val="32"/>
        </w:rPr>
      </w:pPr>
      <w:r>
        <w:rPr>
          <w:rFonts w:hint="eastAsia"/>
          <w:szCs w:val="32"/>
        </w:rPr>
        <w:t>（四）评价得分低于</w:t>
      </w:r>
      <w:r>
        <w:rPr>
          <w:szCs w:val="32"/>
        </w:rPr>
        <w:t>60</w:t>
      </w:r>
      <w:r>
        <w:rPr>
          <w:rFonts w:hint="eastAsia"/>
          <w:szCs w:val="32"/>
        </w:rPr>
        <w:t>分为不合格。</w:t>
      </w:r>
    </w:p>
    <w:p>
      <w:pPr>
        <w:widowControl/>
        <w:spacing w:line="580" w:lineRule="exact"/>
        <w:ind w:firstLine="596" w:firstLineChars="196"/>
        <w:jc w:val="left"/>
        <w:rPr>
          <w:kern w:val="0"/>
          <w:szCs w:val="32"/>
        </w:rPr>
      </w:pPr>
      <w:r>
        <w:rPr>
          <w:rFonts w:hint="eastAsia"/>
          <w:b/>
          <w:szCs w:val="32"/>
        </w:rPr>
        <w:t>第十三条</w:t>
      </w:r>
      <w:r>
        <w:rPr>
          <w:rFonts w:hint="eastAsia"/>
          <w:kern w:val="0"/>
          <w:szCs w:val="32"/>
        </w:rPr>
        <w:t>省经济和信息化委</w:t>
      </w:r>
      <w:r>
        <w:rPr>
          <w:rFonts w:hint="eastAsia"/>
          <w:szCs w:val="32"/>
        </w:rPr>
        <w:t>会同</w:t>
      </w:r>
      <w:r>
        <w:rPr>
          <w:rFonts w:hint="eastAsia"/>
          <w:kern w:val="0"/>
          <w:szCs w:val="32"/>
        </w:rPr>
        <w:t>省发展改革委、</w:t>
      </w:r>
      <w:r>
        <w:rPr>
          <w:rFonts w:hint="eastAsia"/>
          <w:szCs w:val="32"/>
        </w:rPr>
        <w:t>科技厅、财政厅、省地税局、成都海关对</w:t>
      </w:r>
      <w:r>
        <w:rPr>
          <w:rFonts w:hint="eastAsia"/>
          <w:kern w:val="0"/>
          <w:szCs w:val="32"/>
        </w:rPr>
        <w:t>评价结果进行审核确认并行文公布。</w:t>
      </w:r>
    </w:p>
    <w:p>
      <w:pPr>
        <w:widowControl/>
        <w:spacing w:line="580" w:lineRule="exact"/>
        <w:ind w:firstLine="596" w:firstLineChars="196"/>
        <w:jc w:val="left"/>
        <w:rPr>
          <w:kern w:val="0"/>
          <w:szCs w:val="32"/>
        </w:rPr>
      </w:pPr>
    </w:p>
    <w:p>
      <w:pPr>
        <w:widowControl/>
        <w:spacing w:line="580" w:lineRule="exact"/>
        <w:jc w:val="center"/>
        <w:rPr>
          <w:rFonts w:eastAsia="黑体"/>
          <w:kern w:val="0"/>
          <w:szCs w:val="32"/>
        </w:rPr>
      </w:pPr>
      <w:r>
        <w:rPr>
          <w:rFonts w:hint="eastAsia" w:eastAsia="黑体"/>
          <w:kern w:val="0"/>
          <w:szCs w:val="32"/>
        </w:rPr>
        <w:t>第四章 鼓励政策</w:t>
      </w:r>
    </w:p>
    <w:p>
      <w:pPr>
        <w:spacing w:line="580" w:lineRule="exact"/>
        <w:ind w:firstLine="608" w:firstLineChars="200"/>
        <w:rPr>
          <w:szCs w:val="32"/>
        </w:rPr>
      </w:pPr>
      <w:r>
        <w:rPr>
          <w:rFonts w:hint="eastAsia"/>
          <w:b/>
          <w:szCs w:val="32"/>
        </w:rPr>
        <w:t xml:space="preserve">第十四条 </w:t>
      </w:r>
      <w:r>
        <w:rPr>
          <w:rFonts w:hint="eastAsia"/>
          <w:kern w:val="0"/>
          <w:szCs w:val="32"/>
        </w:rPr>
        <w:t>省经济和信息化委</w:t>
      </w:r>
      <w:r>
        <w:rPr>
          <w:rFonts w:hint="eastAsia"/>
          <w:szCs w:val="32"/>
        </w:rPr>
        <w:t>结合企业技术中心创新能力建设等工作，对省企业技术中心予以支持。</w:t>
      </w:r>
    </w:p>
    <w:p>
      <w:pPr>
        <w:widowControl/>
        <w:spacing w:line="580" w:lineRule="exact"/>
        <w:ind w:firstLine="596" w:firstLineChars="196"/>
        <w:rPr>
          <w:szCs w:val="32"/>
        </w:rPr>
      </w:pPr>
      <w:r>
        <w:rPr>
          <w:rFonts w:hint="eastAsia"/>
          <w:b/>
          <w:szCs w:val="32"/>
        </w:rPr>
        <w:t xml:space="preserve">第十五条 </w:t>
      </w:r>
      <w:r>
        <w:rPr>
          <w:rFonts w:hint="eastAsia"/>
          <w:szCs w:val="32"/>
        </w:rPr>
        <w:t>支持省企业技术中心承担地方财政科技计划（专项、基金等）的研发任务。</w:t>
      </w:r>
    </w:p>
    <w:p>
      <w:pPr>
        <w:spacing w:line="580" w:lineRule="exact"/>
        <w:rPr>
          <w:szCs w:val="32"/>
        </w:rPr>
      </w:pPr>
    </w:p>
    <w:p>
      <w:pPr>
        <w:widowControl/>
        <w:spacing w:line="580" w:lineRule="exact"/>
        <w:jc w:val="center"/>
        <w:rPr>
          <w:rFonts w:eastAsia="黑体"/>
          <w:kern w:val="0"/>
          <w:szCs w:val="32"/>
        </w:rPr>
      </w:pPr>
      <w:r>
        <w:rPr>
          <w:rFonts w:hint="eastAsia" w:eastAsia="黑体"/>
          <w:kern w:val="0"/>
          <w:szCs w:val="32"/>
        </w:rPr>
        <w:t>第五章 监督管理</w:t>
      </w:r>
    </w:p>
    <w:p>
      <w:pPr>
        <w:spacing w:line="580" w:lineRule="exact"/>
        <w:ind w:firstLine="608" w:firstLineChars="200"/>
        <w:rPr>
          <w:szCs w:val="32"/>
        </w:rPr>
      </w:pPr>
      <w:r>
        <w:rPr>
          <w:rFonts w:hint="eastAsia"/>
          <w:b/>
          <w:szCs w:val="32"/>
        </w:rPr>
        <w:t xml:space="preserve">第十六条 </w:t>
      </w:r>
      <w:r>
        <w:rPr>
          <w:rFonts w:hint="eastAsia"/>
          <w:szCs w:val="32"/>
        </w:rPr>
        <w:t>各市（州）或扩权试点县主管部门应于每年</w:t>
      </w:r>
      <w:r>
        <w:rPr>
          <w:szCs w:val="32"/>
        </w:rPr>
        <w:t>7</w:t>
      </w:r>
      <w:r>
        <w:rPr>
          <w:rFonts w:hint="eastAsia"/>
          <w:szCs w:val="32"/>
        </w:rPr>
        <w:t>月</w:t>
      </w:r>
      <w:r>
        <w:rPr>
          <w:szCs w:val="32"/>
        </w:rPr>
        <w:t>30</w:t>
      </w:r>
      <w:r>
        <w:rPr>
          <w:rFonts w:hint="eastAsia"/>
          <w:szCs w:val="32"/>
        </w:rPr>
        <w:t>日前，将省企业技术中心所在企业发生更名、重组等变更情况报送</w:t>
      </w:r>
      <w:r>
        <w:rPr>
          <w:rFonts w:hint="eastAsia"/>
          <w:kern w:val="0"/>
          <w:szCs w:val="32"/>
        </w:rPr>
        <w:t>省经济和信息化委</w:t>
      </w:r>
      <w:r>
        <w:rPr>
          <w:rFonts w:hint="eastAsia"/>
          <w:szCs w:val="32"/>
        </w:rPr>
        <w:t>，同时抄送各市（州）或扩权试点县同级管理部门。</w:t>
      </w:r>
    </w:p>
    <w:p>
      <w:pPr>
        <w:spacing w:line="580" w:lineRule="exact"/>
        <w:ind w:firstLine="596" w:firstLineChars="196"/>
        <w:rPr>
          <w:szCs w:val="32"/>
        </w:rPr>
      </w:pPr>
      <w:r>
        <w:rPr>
          <w:rFonts w:hint="eastAsia"/>
          <w:b/>
          <w:szCs w:val="32"/>
        </w:rPr>
        <w:t xml:space="preserve">第十七条 </w:t>
      </w:r>
      <w:r>
        <w:rPr>
          <w:rFonts w:hint="eastAsia"/>
          <w:kern w:val="0"/>
          <w:szCs w:val="32"/>
        </w:rPr>
        <w:t>省经济和信息化委</w:t>
      </w:r>
      <w:r>
        <w:rPr>
          <w:rFonts w:hint="eastAsia"/>
          <w:szCs w:val="32"/>
        </w:rPr>
        <w:t>会同</w:t>
      </w:r>
      <w:r>
        <w:rPr>
          <w:rFonts w:hint="eastAsia"/>
          <w:kern w:val="0"/>
          <w:szCs w:val="32"/>
        </w:rPr>
        <w:t>省发展改革委、</w:t>
      </w:r>
      <w:r>
        <w:rPr>
          <w:rFonts w:hint="eastAsia"/>
          <w:szCs w:val="32"/>
        </w:rPr>
        <w:t>科技厅、财政厅、省地税局、成都海关，每年对各市（州）或扩权试点县主管部门报送的企业变更情况进行确认。</w:t>
      </w:r>
    </w:p>
    <w:p>
      <w:pPr>
        <w:spacing w:line="580" w:lineRule="exact"/>
        <w:ind w:firstLine="608" w:firstLineChars="200"/>
        <w:rPr>
          <w:szCs w:val="32"/>
        </w:rPr>
      </w:pPr>
      <w:r>
        <w:rPr>
          <w:rFonts w:hint="eastAsia"/>
          <w:b/>
          <w:szCs w:val="32"/>
        </w:rPr>
        <w:t xml:space="preserve">第十八条 </w:t>
      </w:r>
      <w:r>
        <w:rPr>
          <w:rFonts w:hint="eastAsia"/>
          <w:szCs w:val="32"/>
        </w:rPr>
        <w:t>有下列情况之一的，撤销省企业技术中心资格：</w:t>
      </w:r>
    </w:p>
    <w:p>
      <w:pPr>
        <w:spacing w:line="580" w:lineRule="exact"/>
        <w:ind w:firstLine="608" w:firstLineChars="200"/>
        <w:rPr>
          <w:szCs w:val="32"/>
        </w:rPr>
      </w:pPr>
      <w:r>
        <w:rPr>
          <w:rFonts w:hint="eastAsia"/>
          <w:szCs w:val="32"/>
        </w:rPr>
        <w:t>（一）运行评价不合格；</w:t>
      </w:r>
    </w:p>
    <w:p>
      <w:pPr>
        <w:spacing w:line="580" w:lineRule="exact"/>
        <w:ind w:firstLine="608" w:firstLineChars="200"/>
        <w:rPr>
          <w:szCs w:val="32"/>
        </w:rPr>
      </w:pPr>
      <w:r>
        <w:rPr>
          <w:rFonts w:hint="eastAsia"/>
          <w:szCs w:val="32"/>
        </w:rPr>
        <w:t>（二）逾期未报送评价材料；</w:t>
      </w:r>
    </w:p>
    <w:p>
      <w:pPr>
        <w:spacing w:line="580" w:lineRule="exact"/>
        <w:ind w:firstLine="608" w:firstLineChars="200"/>
        <w:rPr>
          <w:szCs w:val="32"/>
        </w:rPr>
      </w:pPr>
      <w:r>
        <w:rPr>
          <w:rFonts w:hint="eastAsia"/>
          <w:szCs w:val="32"/>
        </w:rPr>
        <w:t>（三）提供虚假材料和数据；</w:t>
      </w:r>
    </w:p>
    <w:p>
      <w:pPr>
        <w:spacing w:line="580" w:lineRule="exact"/>
        <w:ind w:firstLine="608" w:firstLineChars="200"/>
        <w:rPr>
          <w:szCs w:val="32"/>
        </w:rPr>
      </w:pPr>
      <w:r>
        <w:rPr>
          <w:rFonts w:hint="eastAsia"/>
          <w:szCs w:val="32"/>
        </w:rPr>
        <w:t>（四）主要由于技术原因发生重大质量、安全事故；</w:t>
      </w:r>
    </w:p>
    <w:p>
      <w:pPr>
        <w:spacing w:line="580" w:lineRule="exact"/>
        <w:ind w:firstLine="608" w:firstLineChars="200"/>
        <w:rPr>
          <w:szCs w:val="32"/>
        </w:rPr>
      </w:pPr>
      <w:r>
        <w:rPr>
          <w:rFonts w:hint="eastAsia"/>
          <w:szCs w:val="32"/>
        </w:rPr>
        <w:t>（五）因违反海关法及有关法律、行政法规，构成走私行为，受到刑事、行政处罚，或因严重违反海关监管规定受到行政处罚；</w:t>
      </w:r>
    </w:p>
    <w:p>
      <w:pPr>
        <w:spacing w:line="580" w:lineRule="exact"/>
        <w:rPr>
          <w:szCs w:val="32"/>
        </w:rPr>
      </w:pPr>
      <w:r>
        <w:rPr>
          <w:rFonts w:hint="eastAsia"/>
          <w:szCs w:val="32"/>
        </w:rPr>
        <w:t xml:space="preserve">    （六）因违反税收征管法及有关法律、行政法规，构成偷税、骗取出口退税等严重税收违法行为；</w:t>
      </w:r>
    </w:p>
    <w:p>
      <w:pPr>
        <w:spacing w:line="580" w:lineRule="exact"/>
        <w:rPr>
          <w:szCs w:val="32"/>
        </w:rPr>
      </w:pPr>
      <w:r>
        <w:rPr>
          <w:rFonts w:hint="eastAsia"/>
          <w:szCs w:val="32"/>
        </w:rPr>
        <w:t xml:space="preserve">    （七）司法、行政机关认定的其他严重违法失信行为；</w:t>
      </w:r>
    </w:p>
    <w:p>
      <w:pPr>
        <w:spacing w:line="580" w:lineRule="exact"/>
        <w:ind w:firstLine="608" w:firstLineChars="200"/>
        <w:rPr>
          <w:szCs w:val="32"/>
        </w:rPr>
      </w:pPr>
      <w:r>
        <w:rPr>
          <w:rFonts w:hint="eastAsia"/>
          <w:szCs w:val="32"/>
        </w:rPr>
        <w:t>（八）企业被依法终止。</w:t>
      </w:r>
    </w:p>
    <w:p>
      <w:pPr>
        <w:spacing w:line="580" w:lineRule="exact"/>
        <w:ind w:firstLine="596" w:firstLineChars="196"/>
        <w:rPr>
          <w:szCs w:val="32"/>
        </w:rPr>
      </w:pPr>
      <w:r>
        <w:rPr>
          <w:rFonts w:hint="eastAsia"/>
          <w:b/>
          <w:szCs w:val="32"/>
        </w:rPr>
        <w:t xml:space="preserve">第十九条 </w:t>
      </w:r>
      <w:r>
        <w:rPr>
          <w:rFonts w:hint="eastAsia"/>
          <w:szCs w:val="32"/>
        </w:rPr>
        <w:t>因本办法第十八条第（一）、（二）项所列原因被撤销省企业技术中心资格的，自撤销之日起，各市（州）或扩权试点县主管部门两年内不得再次推荐该企业申报省企业技术中心。</w:t>
      </w:r>
    </w:p>
    <w:p>
      <w:pPr>
        <w:spacing w:line="580" w:lineRule="exact"/>
        <w:ind w:firstLine="608" w:firstLineChars="200"/>
        <w:rPr>
          <w:szCs w:val="32"/>
        </w:rPr>
      </w:pPr>
      <w:r>
        <w:rPr>
          <w:rFonts w:hint="eastAsia"/>
          <w:szCs w:val="32"/>
        </w:rPr>
        <w:t>因本办法第十八条第（三）至（七）项所列原因被撤销省企业技术中心资格的，自撤销之日起，各市（州）或扩权试点县主管部门三年内不得再次推荐该企业申报省企业技术中心。</w:t>
      </w:r>
    </w:p>
    <w:p>
      <w:pPr>
        <w:spacing w:line="580" w:lineRule="exact"/>
        <w:ind w:firstLine="608" w:firstLineChars="200"/>
        <w:rPr>
          <w:szCs w:val="32"/>
        </w:rPr>
      </w:pPr>
      <w:r>
        <w:rPr>
          <w:rFonts w:hint="eastAsia"/>
          <w:szCs w:val="32"/>
        </w:rPr>
        <w:t>各市（州）或扩权试点县主管部门负责指导和督促评价基本合格的省企业技术中心的改进工作。</w:t>
      </w:r>
    </w:p>
    <w:p>
      <w:pPr>
        <w:spacing w:line="580" w:lineRule="exact"/>
        <w:ind w:firstLine="636"/>
        <w:rPr>
          <w:spacing w:val="-2"/>
          <w:szCs w:val="32"/>
        </w:rPr>
      </w:pPr>
      <w:r>
        <w:rPr>
          <w:rFonts w:hint="eastAsia"/>
          <w:b/>
          <w:szCs w:val="32"/>
        </w:rPr>
        <w:t xml:space="preserve">第二十条 </w:t>
      </w:r>
      <w:r>
        <w:rPr>
          <w:rFonts w:hint="eastAsia"/>
          <w:spacing w:val="-2"/>
          <w:kern w:val="0"/>
          <w:szCs w:val="32"/>
        </w:rPr>
        <w:t>省经济和信息化委</w:t>
      </w:r>
      <w:r>
        <w:rPr>
          <w:rFonts w:hint="eastAsia"/>
          <w:spacing w:val="-2"/>
          <w:szCs w:val="32"/>
        </w:rPr>
        <w:t>会同</w:t>
      </w:r>
      <w:r>
        <w:rPr>
          <w:rFonts w:hint="eastAsia"/>
          <w:kern w:val="0"/>
          <w:szCs w:val="32"/>
        </w:rPr>
        <w:t>省发展改革委、</w:t>
      </w:r>
      <w:r>
        <w:rPr>
          <w:rFonts w:hint="eastAsia"/>
          <w:spacing w:val="-2"/>
          <w:szCs w:val="32"/>
        </w:rPr>
        <w:t>科技厅、财政厅、省地税局、成都海关联合发文，通报省级企业技术中心撤销和更名结果。</w:t>
      </w:r>
    </w:p>
    <w:p>
      <w:pPr>
        <w:spacing w:line="580" w:lineRule="exact"/>
        <w:ind w:firstLine="636"/>
        <w:rPr>
          <w:szCs w:val="32"/>
        </w:rPr>
      </w:pPr>
    </w:p>
    <w:p>
      <w:pPr>
        <w:pStyle w:val="10"/>
        <w:spacing w:line="580" w:lineRule="exact"/>
        <w:ind w:firstLine="0" w:firstLineChars="0"/>
        <w:jc w:val="center"/>
        <w:rPr>
          <w:rFonts w:eastAsia="黑体"/>
          <w:sz w:val="32"/>
          <w:szCs w:val="32"/>
        </w:rPr>
      </w:pPr>
      <w:r>
        <w:rPr>
          <w:rFonts w:hint="eastAsia" w:hAnsi="黑体" w:eastAsia="黑体"/>
          <w:sz w:val="32"/>
          <w:szCs w:val="32"/>
        </w:rPr>
        <w:t xml:space="preserve">第六章 </w:t>
      </w:r>
      <w:r>
        <w:rPr>
          <w:rFonts w:hAnsi="黑体" w:eastAsia="黑体"/>
          <w:sz w:val="32"/>
          <w:szCs w:val="32"/>
        </w:rPr>
        <w:t>附则</w:t>
      </w:r>
    </w:p>
    <w:p>
      <w:pPr>
        <w:spacing w:line="580" w:lineRule="exact"/>
        <w:ind w:firstLine="596" w:firstLineChars="196"/>
        <w:rPr>
          <w:szCs w:val="32"/>
        </w:rPr>
      </w:pPr>
      <w:r>
        <w:rPr>
          <w:rFonts w:hint="eastAsia"/>
          <w:b/>
          <w:szCs w:val="32"/>
        </w:rPr>
        <w:t xml:space="preserve">第二十一条 </w:t>
      </w:r>
      <w:r>
        <w:rPr>
          <w:rFonts w:hint="eastAsia"/>
          <w:szCs w:val="32"/>
        </w:rPr>
        <w:t>各市（州）或扩权试点县主管部门可参考本办法，结合本地实际，在职责范围内依法制定相应政策，支持企业技术中心建设。</w:t>
      </w:r>
    </w:p>
    <w:p>
      <w:pPr>
        <w:spacing w:line="580" w:lineRule="exact"/>
        <w:ind w:firstLine="596" w:firstLineChars="196"/>
        <w:rPr>
          <w:szCs w:val="32"/>
        </w:rPr>
      </w:pPr>
      <w:r>
        <w:rPr>
          <w:rFonts w:hint="eastAsia"/>
          <w:b/>
          <w:szCs w:val="32"/>
        </w:rPr>
        <w:t xml:space="preserve">第二十二条 </w:t>
      </w:r>
      <w:r>
        <w:rPr>
          <w:rFonts w:hint="eastAsia"/>
          <w:szCs w:val="32"/>
        </w:rPr>
        <w:t>本办法涉及的申请材料、评价材料和评价指标体系的内容和要求，由</w:t>
      </w:r>
      <w:r>
        <w:rPr>
          <w:rFonts w:hint="eastAsia"/>
          <w:kern w:val="0"/>
          <w:szCs w:val="32"/>
        </w:rPr>
        <w:t>省经济和信息化委</w:t>
      </w:r>
      <w:r>
        <w:rPr>
          <w:rFonts w:hint="eastAsia"/>
          <w:szCs w:val="32"/>
        </w:rPr>
        <w:t>商</w:t>
      </w:r>
      <w:r>
        <w:rPr>
          <w:rFonts w:hint="eastAsia"/>
          <w:kern w:val="0"/>
          <w:szCs w:val="32"/>
        </w:rPr>
        <w:t>省发展改革委、</w:t>
      </w:r>
      <w:r>
        <w:rPr>
          <w:rFonts w:hint="eastAsia"/>
          <w:szCs w:val="32"/>
        </w:rPr>
        <w:t>科技厅、财政厅、省地税局、成都海关另行发布并适时调整。</w:t>
      </w:r>
    </w:p>
    <w:p>
      <w:pPr>
        <w:spacing w:line="580" w:lineRule="exact"/>
        <w:ind w:firstLine="596" w:firstLineChars="196"/>
        <w:rPr>
          <w:szCs w:val="32"/>
        </w:rPr>
      </w:pPr>
      <w:r>
        <w:rPr>
          <w:rFonts w:hint="eastAsia"/>
          <w:b/>
          <w:szCs w:val="32"/>
        </w:rPr>
        <w:t xml:space="preserve">第二十三条 </w:t>
      </w:r>
      <w:r>
        <w:rPr>
          <w:rFonts w:hint="eastAsia"/>
          <w:szCs w:val="32"/>
        </w:rPr>
        <w:t>依据《中华人民共和国政府信息公开条例》，省企业技术中心认定的相关信息向社会公开。省企业技术中心的认定、运行评价等，实现网上办理。</w:t>
      </w:r>
    </w:p>
    <w:p>
      <w:pPr>
        <w:spacing w:line="580" w:lineRule="exact"/>
        <w:ind w:firstLine="596" w:firstLineChars="196"/>
        <w:rPr>
          <w:szCs w:val="32"/>
        </w:rPr>
      </w:pPr>
      <w:r>
        <w:rPr>
          <w:rFonts w:hint="eastAsia"/>
          <w:b/>
          <w:szCs w:val="32"/>
        </w:rPr>
        <w:t xml:space="preserve">第二十四条 </w:t>
      </w:r>
      <w:r>
        <w:rPr>
          <w:rFonts w:hint="eastAsia"/>
          <w:szCs w:val="32"/>
        </w:rPr>
        <w:t>本办法自发布之日起施行，有效期5年。原有的《四川省企业技术中心管理办法》（川经〔</w:t>
      </w:r>
      <w:r>
        <w:rPr>
          <w:szCs w:val="32"/>
        </w:rPr>
        <w:t>2007</w:t>
      </w:r>
      <w:r>
        <w:rPr>
          <w:rFonts w:hint="eastAsia"/>
          <w:szCs w:val="32"/>
        </w:rPr>
        <w:t>〕</w:t>
      </w:r>
      <w:r>
        <w:rPr>
          <w:szCs w:val="32"/>
        </w:rPr>
        <w:t>1</w:t>
      </w:r>
      <w:r>
        <w:rPr>
          <w:rFonts w:hint="eastAsia"/>
          <w:szCs w:val="32"/>
        </w:rPr>
        <w:t>号）同时废止。</w:t>
      </w:r>
    </w:p>
    <w:p>
      <w:pPr>
        <w:widowControl/>
        <w:spacing w:line="580" w:lineRule="exact"/>
        <w:ind w:firstLine="636"/>
        <w:rPr>
          <w:sz w:val="10"/>
          <w:szCs w:val="10"/>
        </w:rPr>
      </w:pPr>
      <w:r>
        <w:rPr>
          <w:rFonts w:hint="eastAsia"/>
          <w:b/>
          <w:szCs w:val="32"/>
        </w:rPr>
        <w:t xml:space="preserve">第二十五条 </w:t>
      </w:r>
      <w:r>
        <w:rPr>
          <w:rFonts w:hint="eastAsia"/>
          <w:szCs w:val="32"/>
        </w:rPr>
        <w:t>本办法由</w:t>
      </w:r>
      <w:r>
        <w:rPr>
          <w:rFonts w:hint="eastAsia"/>
          <w:kern w:val="0"/>
          <w:szCs w:val="32"/>
        </w:rPr>
        <w:t>省经济和信息化委会同省发展改革委、科</w:t>
      </w:r>
      <w:r>
        <w:rPr>
          <w:rFonts w:hint="eastAsia"/>
          <w:szCs w:val="32"/>
        </w:rPr>
        <w:t>技厅、财政厅、省地税局、成都海关负责解释。</w:t>
      </w:r>
    </w:p>
    <w:p/>
    <w:p>
      <w:pPr>
        <w:widowControl/>
        <w:spacing w:line="600" w:lineRule="exact"/>
        <w:ind w:firstLine="265" w:firstLineChars="87"/>
        <w:rPr>
          <w:kern w:val="0"/>
          <w:szCs w:val="32"/>
        </w:rPr>
      </w:pPr>
    </w:p>
    <w:p>
      <w:pPr>
        <w:widowControl/>
        <w:spacing w:line="600" w:lineRule="exact"/>
        <w:ind w:firstLine="265" w:firstLineChars="87"/>
        <w:rPr>
          <w:kern w:val="0"/>
          <w:szCs w:val="32"/>
        </w:rPr>
      </w:pPr>
    </w:p>
    <w:p>
      <w:pPr>
        <w:widowControl/>
        <w:spacing w:line="600" w:lineRule="exact"/>
        <w:ind w:firstLine="265" w:firstLineChars="87"/>
        <w:rPr>
          <w:kern w:val="0"/>
          <w:szCs w:val="32"/>
        </w:rPr>
      </w:pPr>
    </w:p>
    <w:p>
      <w:pPr>
        <w:spacing w:line="580" w:lineRule="exact"/>
        <w:jc w:val="center"/>
        <w:rPr>
          <w:rFonts w:eastAsia="方正小标宋简体"/>
          <w:kern w:val="0"/>
          <w:sz w:val="44"/>
          <w:szCs w:val="44"/>
        </w:rPr>
      </w:pPr>
      <w:r>
        <w:rPr>
          <w:rFonts w:eastAsia="方正小标宋简体"/>
          <w:kern w:val="0"/>
          <w:sz w:val="44"/>
          <w:szCs w:val="44"/>
        </w:rPr>
        <w:t>四川省企业技术中心认定评价工作指南</w:t>
      </w:r>
    </w:p>
    <w:p>
      <w:pPr>
        <w:spacing w:line="580" w:lineRule="exact"/>
        <w:jc w:val="center"/>
        <w:rPr>
          <w:rFonts w:eastAsia="楷体_GB2312"/>
          <w:b/>
          <w:kern w:val="0"/>
          <w:szCs w:val="32"/>
        </w:rPr>
      </w:pPr>
      <w:r>
        <w:rPr>
          <w:rFonts w:eastAsia="楷体_GB2312"/>
          <w:b/>
          <w:kern w:val="0"/>
          <w:szCs w:val="32"/>
        </w:rPr>
        <w:t>（试行）</w:t>
      </w:r>
    </w:p>
    <w:p>
      <w:pPr>
        <w:spacing w:line="580" w:lineRule="exact"/>
        <w:jc w:val="center"/>
        <w:rPr>
          <w:b/>
          <w:kern w:val="0"/>
          <w:sz w:val="40"/>
          <w:szCs w:val="40"/>
        </w:rPr>
      </w:pPr>
    </w:p>
    <w:p>
      <w:pPr>
        <w:spacing w:line="580" w:lineRule="exact"/>
        <w:ind w:firstLine="605" w:firstLineChars="199"/>
        <w:rPr>
          <w:kern w:val="0"/>
          <w:szCs w:val="32"/>
        </w:rPr>
      </w:pPr>
      <w:r>
        <w:rPr>
          <w:kern w:val="0"/>
          <w:szCs w:val="32"/>
        </w:rPr>
        <w:t>为规范四川省企业技术中心认定和评价工作，指导企业技术中心编制申请和评价材料，根据《四川省企业技术中心认定管理办法》（川经信办</w:t>
      </w:r>
      <w:r>
        <w:rPr>
          <w:rFonts w:hint="eastAsia" w:ascii="仿宋_GB2312"/>
          <w:kern w:val="0"/>
          <w:szCs w:val="32"/>
        </w:rPr>
        <w:t>技创</w:t>
      </w:r>
      <w:r>
        <w:rPr>
          <w:szCs w:val="32"/>
        </w:rPr>
        <w:t>〔2017〕</w:t>
      </w:r>
      <w:r>
        <w:rPr>
          <w:rFonts w:hint="eastAsia"/>
          <w:szCs w:val="32"/>
        </w:rPr>
        <w:t>130</w:t>
      </w:r>
      <w:r>
        <w:rPr>
          <w:rFonts w:hint="eastAsia" w:ascii="仿宋_GB2312" w:hAnsi="仿宋"/>
          <w:kern w:val="0"/>
          <w:szCs w:val="32"/>
        </w:rPr>
        <w:t>号，</w:t>
      </w:r>
      <w:r>
        <w:rPr>
          <w:kern w:val="0"/>
          <w:szCs w:val="32"/>
        </w:rPr>
        <w:t>以下简称《管理办法》）要求，制订本指南。</w:t>
      </w:r>
    </w:p>
    <w:p>
      <w:pPr>
        <w:widowControl/>
        <w:spacing w:line="580" w:lineRule="exact"/>
        <w:ind w:firstLine="672" w:firstLineChars="221"/>
        <w:rPr>
          <w:kern w:val="0"/>
          <w:szCs w:val="32"/>
        </w:rPr>
      </w:pPr>
      <w:r>
        <w:rPr>
          <w:kern w:val="0"/>
          <w:szCs w:val="32"/>
        </w:rPr>
        <w:t>申请四川省企业技术中心的企业，需根据《管理办法》和当年四川省经济和信息化委员会通知要求，参照本指南编制申请材料。申请材料内容应包括：《四川省企业技术中心申请报告》（见附件1）、评价表及必要的证明材料（见附件2）。</w:t>
      </w:r>
    </w:p>
    <w:p>
      <w:pPr>
        <w:widowControl/>
        <w:spacing w:line="580" w:lineRule="exact"/>
        <w:ind w:firstLine="672" w:firstLineChars="221"/>
        <w:rPr>
          <w:kern w:val="0"/>
          <w:szCs w:val="32"/>
        </w:rPr>
      </w:pPr>
      <w:r>
        <w:rPr>
          <w:kern w:val="0"/>
          <w:szCs w:val="32"/>
        </w:rPr>
        <w:t>已认定的省级企业技术中心，需参加每</w:t>
      </w:r>
      <w:r>
        <w:rPr>
          <w:rFonts w:hint="eastAsia"/>
          <w:kern w:val="0"/>
          <w:szCs w:val="32"/>
        </w:rPr>
        <w:t>两</w:t>
      </w:r>
      <w:r>
        <w:rPr>
          <w:kern w:val="0"/>
          <w:szCs w:val="32"/>
        </w:rPr>
        <w:t>年一次的企业技术中心运行评价，参照本指南编制评价材料。评价材料内容应包括：《四川省企业技术中心工作总结》（见附件3）、评价表及必要的证明材料（见附件2）。</w:t>
      </w:r>
    </w:p>
    <w:p>
      <w:pPr>
        <w:widowControl/>
        <w:spacing w:line="580" w:lineRule="exact"/>
        <w:ind w:firstLine="672" w:firstLineChars="221"/>
        <w:rPr>
          <w:kern w:val="0"/>
          <w:szCs w:val="32"/>
        </w:rPr>
      </w:pPr>
      <w:r>
        <w:rPr>
          <w:kern w:val="0"/>
          <w:szCs w:val="32"/>
        </w:rPr>
        <w:t>省经济和信息化委将委托第三方机构，依据评价指标体系（见附件4）对企业技术中心申请材料和评价材料进行评价。</w:t>
      </w:r>
    </w:p>
    <w:p>
      <w:pPr>
        <w:spacing w:line="580" w:lineRule="exact"/>
        <w:ind w:firstLine="608" w:firstLineChars="200"/>
        <w:rPr>
          <w:kern w:val="0"/>
          <w:szCs w:val="32"/>
        </w:rPr>
      </w:pPr>
      <w:r>
        <w:rPr>
          <w:kern w:val="0"/>
          <w:szCs w:val="32"/>
        </w:rPr>
        <w:t>附件：1.《四川省企业技术中心申请报告》编写提纲</w:t>
      </w:r>
    </w:p>
    <w:p>
      <w:pPr>
        <w:spacing w:line="580" w:lineRule="exact"/>
        <w:ind w:firstLine="1520" w:firstLineChars="500"/>
        <w:rPr>
          <w:kern w:val="0"/>
          <w:szCs w:val="32"/>
        </w:rPr>
      </w:pPr>
      <w:r>
        <w:rPr>
          <w:kern w:val="0"/>
          <w:szCs w:val="32"/>
        </w:rPr>
        <w:t>2.四川省企业技术中心评价材料</w:t>
      </w:r>
    </w:p>
    <w:p>
      <w:pPr>
        <w:spacing w:line="580" w:lineRule="exact"/>
        <w:ind w:firstLine="1520" w:firstLineChars="500"/>
        <w:rPr>
          <w:kern w:val="0"/>
          <w:szCs w:val="32"/>
        </w:rPr>
      </w:pPr>
      <w:r>
        <w:rPr>
          <w:kern w:val="0"/>
          <w:szCs w:val="32"/>
        </w:rPr>
        <w:t>3.《四川省企业技术中心工作总结》提纲</w:t>
      </w:r>
    </w:p>
    <w:p>
      <w:pPr>
        <w:spacing w:line="580" w:lineRule="exact"/>
        <w:rPr>
          <w:kern w:val="0"/>
          <w:szCs w:val="32"/>
        </w:rPr>
      </w:pPr>
      <w:r>
        <w:rPr>
          <w:kern w:val="0"/>
          <w:szCs w:val="32"/>
        </w:rPr>
        <w:t xml:space="preserve">          4.四川省企业技术中心评价指标体系</w:t>
      </w:r>
    </w:p>
    <w:p>
      <w:pPr>
        <w:spacing w:line="600" w:lineRule="exact"/>
        <w:rPr>
          <w:rFonts w:eastAsia="黑体"/>
          <w:kern w:val="0"/>
          <w:szCs w:val="32"/>
        </w:rPr>
      </w:pPr>
    </w:p>
    <w:p>
      <w:pPr>
        <w:spacing w:line="600" w:lineRule="exact"/>
        <w:rPr>
          <w:rFonts w:eastAsia="黑体"/>
          <w:kern w:val="0"/>
          <w:szCs w:val="32"/>
        </w:rPr>
      </w:pPr>
    </w:p>
    <w:p>
      <w:pPr>
        <w:spacing w:line="600" w:lineRule="exact"/>
        <w:rPr>
          <w:rFonts w:eastAsia="黑体"/>
          <w:kern w:val="0"/>
          <w:szCs w:val="32"/>
        </w:rPr>
      </w:pPr>
      <w:r>
        <w:rPr>
          <w:rFonts w:eastAsia="黑体"/>
          <w:kern w:val="0"/>
          <w:szCs w:val="32"/>
        </w:rPr>
        <w:t>附件1</w:t>
      </w:r>
    </w:p>
    <w:p>
      <w:pPr>
        <w:spacing w:line="600" w:lineRule="exact"/>
        <w:rPr>
          <w:rFonts w:eastAsia="黑体"/>
          <w:kern w:val="0"/>
          <w:szCs w:val="32"/>
        </w:rPr>
      </w:pPr>
    </w:p>
    <w:p>
      <w:pPr>
        <w:spacing w:line="600" w:lineRule="exact"/>
        <w:jc w:val="center"/>
        <w:rPr>
          <w:rFonts w:eastAsia="方正小标宋简体"/>
          <w:kern w:val="0"/>
          <w:sz w:val="44"/>
          <w:szCs w:val="44"/>
        </w:rPr>
      </w:pPr>
      <w:r>
        <w:rPr>
          <w:rFonts w:eastAsia="方正小标宋简体"/>
          <w:kern w:val="0"/>
          <w:sz w:val="44"/>
          <w:szCs w:val="44"/>
        </w:rPr>
        <w:t>《四川省企业技术中心申请报告》编写提纲</w:t>
      </w:r>
    </w:p>
    <w:p>
      <w:pPr>
        <w:spacing w:line="600" w:lineRule="exact"/>
        <w:ind w:firstLine="227" w:firstLineChars="199"/>
        <w:rPr>
          <w:b/>
          <w:kern w:val="0"/>
          <w:sz w:val="13"/>
          <w:szCs w:val="13"/>
        </w:rPr>
      </w:pPr>
    </w:p>
    <w:p>
      <w:pPr>
        <w:spacing w:line="600" w:lineRule="exact"/>
        <w:ind w:left="597"/>
        <w:rPr>
          <w:rFonts w:eastAsia="黑体"/>
          <w:kern w:val="0"/>
          <w:szCs w:val="32"/>
        </w:rPr>
      </w:pPr>
      <w:r>
        <w:rPr>
          <w:rFonts w:eastAsia="黑体"/>
          <w:kern w:val="0"/>
          <w:szCs w:val="32"/>
        </w:rPr>
        <w:t>一、企业的地位和作用</w:t>
      </w:r>
    </w:p>
    <w:p>
      <w:pPr>
        <w:spacing w:line="600" w:lineRule="exact"/>
        <w:ind w:firstLine="605" w:firstLineChars="199"/>
        <w:rPr>
          <w:kern w:val="0"/>
          <w:szCs w:val="32"/>
        </w:rPr>
      </w:pPr>
      <w:r>
        <w:rPr>
          <w:kern w:val="0"/>
          <w:szCs w:val="32"/>
        </w:rPr>
        <w:t>（一）企业基本情况。包括所有制性质、主要下属企业，职工人数、企业总资产、资产负债率、银行信用等级、销售收入、利润、主导产品及市场占有率等。</w:t>
      </w:r>
    </w:p>
    <w:p>
      <w:pPr>
        <w:spacing w:line="600" w:lineRule="exact"/>
        <w:ind w:firstLine="605" w:firstLineChars="199"/>
        <w:rPr>
          <w:kern w:val="0"/>
          <w:szCs w:val="32"/>
        </w:rPr>
      </w:pPr>
      <w:r>
        <w:rPr>
          <w:kern w:val="0"/>
          <w:szCs w:val="32"/>
        </w:rPr>
        <w:t>（二）企业的行业地位和竞争力。结合行业集中度和企业在行业中的综合排序，分析企业在本行业的领先地位和竞争优势，与同行业企业相比所具有的规模和技术优势。</w:t>
      </w:r>
    </w:p>
    <w:p>
      <w:pPr>
        <w:spacing w:line="600" w:lineRule="exact"/>
        <w:ind w:firstLine="605" w:firstLineChars="199"/>
        <w:rPr>
          <w:kern w:val="0"/>
          <w:szCs w:val="32"/>
        </w:rPr>
      </w:pPr>
      <w:r>
        <w:rPr>
          <w:kern w:val="0"/>
          <w:szCs w:val="32"/>
        </w:rPr>
        <w:t>（三）企业对本行业技术创新的引领作用。包括企业对行业技术进步、结构调整、促进区域产业发展以及节能减排、资源节约综合利用等方面的示范和带动作用。</w:t>
      </w:r>
    </w:p>
    <w:p>
      <w:pPr>
        <w:spacing w:line="600" w:lineRule="exact"/>
        <w:ind w:left="597"/>
        <w:rPr>
          <w:rFonts w:eastAsia="黑体"/>
          <w:kern w:val="0"/>
          <w:szCs w:val="32"/>
        </w:rPr>
      </w:pPr>
      <w:r>
        <w:rPr>
          <w:rFonts w:eastAsia="黑体"/>
          <w:kern w:val="0"/>
          <w:szCs w:val="32"/>
        </w:rPr>
        <w:t>二、企业技术创新的现状和成绩</w:t>
      </w:r>
    </w:p>
    <w:p>
      <w:pPr>
        <w:spacing w:line="600" w:lineRule="exact"/>
        <w:ind w:firstLine="605" w:firstLineChars="199"/>
        <w:rPr>
          <w:kern w:val="0"/>
          <w:szCs w:val="32"/>
        </w:rPr>
      </w:pPr>
      <w:r>
        <w:rPr>
          <w:kern w:val="0"/>
          <w:szCs w:val="32"/>
        </w:rPr>
        <w:t>（一）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spacing w:line="600" w:lineRule="exact"/>
        <w:ind w:firstLine="605" w:firstLineChars="199"/>
        <w:rPr>
          <w:kern w:val="0"/>
          <w:szCs w:val="32"/>
        </w:rPr>
      </w:pPr>
      <w:r>
        <w:rPr>
          <w:kern w:val="0"/>
          <w:szCs w:val="32"/>
        </w:rPr>
        <w:t>（二）企业技术中心创新资源整合情况。包括企业技术中心技术带头人及创新团队建设情况、研发经费投入情况、研究开发和试验基础条件建设情况、信息化建设情况等。</w:t>
      </w:r>
    </w:p>
    <w:p>
      <w:pPr>
        <w:spacing w:line="600" w:lineRule="exact"/>
        <w:ind w:firstLine="605" w:firstLineChars="199"/>
        <w:rPr>
          <w:kern w:val="0"/>
          <w:szCs w:val="32"/>
        </w:rPr>
      </w:pPr>
      <w:r>
        <w:rPr>
          <w:kern w:val="0"/>
          <w:szCs w:val="32"/>
        </w:rPr>
        <w:t>（三）企业技术中心研究开发工作开展情况。包括重大产品创新、工艺创新、商业模式创新、产学研合作、企业间合作、国际化研发活动等。</w:t>
      </w:r>
    </w:p>
    <w:p>
      <w:pPr>
        <w:spacing w:line="600" w:lineRule="exact"/>
        <w:ind w:firstLine="605" w:firstLineChars="199"/>
        <w:rPr>
          <w:kern w:val="0"/>
          <w:szCs w:val="32"/>
        </w:rPr>
      </w:pPr>
      <w:r>
        <w:rPr>
          <w:kern w:val="0"/>
          <w:szCs w:val="32"/>
        </w:rPr>
        <w:t>（四）企业技术中心取得的主要创新成果。形成的核心技术及自主知识产权情况，重点介绍相关技术成果对企业核心产品研发、核心竞争力提升的支撑作用，以及取得的经济社会效益。</w:t>
      </w:r>
    </w:p>
    <w:p>
      <w:pPr>
        <w:spacing w:line="600" w:lineRule="exact"/>
        <w:ind w:left="597"/>
        <w:rPr>
          <w:rFonts w:eastAsia="黑体"/>
          <w:kern w:val="0"/>
          <w:szCs w:val="32"/>
        </w:rPr>
      </w:pPr>
      <w:r>
        <w:rPr>
          <w:rFonts w:eastAsia="黑体"/>
          <w:kern w:val="0"/>
          <w:szCs w:val="32"/>
        </w:rPr>
        <w:t>三、企业技术创新战略和规划</w:t>
      </w:r>
    </w:p>
    <w:p>
      <w:pPr>
        <w:spacing w:line="600" w:lineRule="exact"/>
        <w:ind w:firstLine="605" w:firstLineChars="199"/>
        <w:rPr>
          <w:kern w:val="0"/>
          <w:szCs w:val="32"/>
        </w:rPr>
      </w:pPr>
      <w:r>
        <w:rPr>
          <w:kern w:val="0"/>
          <w:szCs w:val="32"/>
        </w:rPr>
        <w:t>（一）企业制定未来3～5年技术创新发展战略情况，及该战略对企业总体发展目标的支撑情况。</w:t>
      </w:r>
    </w:p>
    <w:p>
      <w:pPr>
        <w:spacing w:line="600" w:lineRule="exact"/>
        <w:ind w:firstLine="605" w:firstLineChars="199"/>
        <w:rPr>
          <w:kern w:val="0"/>
          <w:szCs w:val="32"/>
        </w:rPr>
      </w:pPr>
      <w:r>
        <w:rPr>
          <w:kern w:val="0"/>
          <w:szCs w:val="32"/>
        </w:rPr>
        <w:t>（二）企业近期在技术创新方面拟实施的重点举措，包括创新条件建设、创新人才集聚、重点研发项目部署等。</w:t>
      </w: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kern w:val="0"/>
          <w:szCs w:val="32"/>
        </w:rPr>
      </w:pPr>
    </w:p>
    <w:p>
      <w:pPr>
        <w:spacing w:line="600" w:lineRule="exact"/>
        <w:rPr>
          <w:rFonts w:eastAsia="黑体"/>
          <w:kern w:val="0"/>
          <w:szCs w:val="32"/>
        </w:rPr>
      </w:pPr>
      <w:r>
        <w:rPr>
          <w:rFonts w:eastAsia="黑体"/>
          <w:kern w:val="0"/>
          <w:szCs w:val="32"/>
        </w:rPr>
        <w:t>附件2</w:t>
      </w:r>
    </w:p>
    <w:p>
      <w:pPr>
        <w:spacing w:line="600" w:lineRule="exact"/>
        <w:jc w:val="center"/>
        <w:rPr>
          <w:rFonts w:eastAsia="方正小标宋简体"/>
          <w:kern w:val="0"/>
          <w:sz w:val="44"/>
          <w:szCs w:val="44"/>
        </w:rPr>
      </w:pPr>
      <w:r>
        <w:rPr>
          <w:rFonts w:eastAsia="方正小标宋简体"/>
          <w:kern w:val="0"/>
          <w:sz w:val="44"/>
          <w:szCs w:val="44"/>
        </w:rPr>
        <w:t>四川省企业技术中心评价材料</w:t>
      </w:r>
    </w:p>
    <w:p>
      <w:pPr>
        <w:spacing w:line="200" w:lineRule="exact"/>
        <w:rPr>
          <w:rFonts w:eastAsia="方正小标宋简体"/>
          <w:kern w:val="0"/>
          <w:sz w:val="15"/>
          <w:szCs w:val="15"/>
        </w:rPr>
      </w:pPr>
    </w:p>
    <w:p>
      <w:pPr>
        <w:spacing w:line="600" w:lineRule="exact"/>
        <w:ind w:firstLine="672" w:firstLineChars="221"/>
        <w:jc w:val="left"/>
        <w:rPr>
          <w:rFonts w:eastAsia="黑体"/>
          <w:kern w:val="0"/>
          <w:szCs w:val="32"/>
        </w:rPr>
      </w:pPr>
      <w:r>
        <w:rPr>
          <w:rFonts w:hAnsi="黑体" w:eastAsia="黑体"/>
          <w:kern w:val="0"/>
          <w:szCs w:val="32"/>
        </w:rPr>
        <w:t>一、省企业技术中心评价数据表</w:t>
      </w:r>
    </w:p>
    <w:tbl>
      <w:tblPr>
        <w:tblStyle w:val="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985"/>
        <w:gridCol w:w="1701"/>
        <w:gridCol w:w="85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shd w:val="clear" w:color="auto" w:fill="auto"/>
            <w:vAlign w:val="center"/>
          </w:tcPr>
          <w:p>
            <w:pPr>
              <w:widowControl/>
              <w:spacing w:line="600" w:lineRule="exact"/>
              <w:rPr>
                <w:kern w:val="0"/>
                <w:szCs w:val="21"/>
              </w:rPr>
            </w:pPr>
            <w:r>
              <w:rPr>
                <w:kern w:val="0"/>
                <w:szCs w:val="21"/>
              </w:rPr>
              <w:t>企业名称</w:t>
            </w:r>
          </w:p>
        </w:tc>
        <w:tc>
          <w:tcPr>
            <w:tcW w:w="6663" w:type="dxa"/>
            <w:gridSpan w:val="4"/>
            <w:shd w:val="clear" w:color="auto" w:fill="auto"/>
            <w:vAlign w:val="center"/>
          </w:tcPr>
          <w:p>
            <w:pPr>
              <w:widowControl/>
              <w:spacing w:line="600" w:lineRule="exact"/>
              <w:jc w:val="left"/>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shd w:val="clear" w:color="auto" w:fill="auto"/>
            <w:vAlign w:val="center"/>
          </w:tcPr>
          <w:p>
            <w:pPr>
              <w:widowControl/>
              <w:spacing w:line="600" w:lineRule="exact"/>
              <w:rPr>
                <w:kern w:val="0"/>
                <w:szCs w:val="21"/>
              </w:rPr>
            </w:pPr>
            <w:r>
              <w:rPr>
                <w:kern w:val="0"/>
                <w:szCs w:val="21"/>
              </w:rPr>
              <w:t>通讯地址</w:t>
            </w:r>
          </w:p>
        </w:tc>
        <w:tc>
          <w:tcPr>
            <w:tcW w:w="1985" w:type="dxa"/>
            <w:shd w:val="clear" w:color="auto" w:fill="auto"/>
            <w:vAlign w:val="center"/>
          </w:tcPr>
          <w:p>
            <w:pPr>
              <w:widowControl/>
              <w:spacing w:line="600" w:lineRule="exact"/>
              <w:jc w:val="left"/>
              <w:rPr>
                <w:kern w:val="0"/>
                <w:szCs w:val="21"/>
              </w:rPr>
            </w:pPr>
            <w:r>
              <w:rPr>
                <w:kern w:val="0"/>
                <w:szCs w:val="21"/>
              </w:rPr>
              <w:t>　</w:t>
            </w:r>
          </w:p>
        </w:tc>
        <w:tc>
          <w:tcPr>
            <w:tcW w:w="2551" w:type="dxa"/>
            <w:gridSpan w:val="2"/>
            <w:shd w:val="clear" w:color="auto" w:fill="auto"/>
            <w:vAlign w:val="center"/>
          </w:tcPr>
          <w:p>
            <w:pPr>
              <w:widowControl/>
              <w:spacing w:line="600" w:lineRule="exact"/>
              <w:rPr>
                <w:kern w:val="0"/>
                <w:szCs w:val="21"/>
              </w:rPr>
            </w:pPr>
            <w:r>
              <w:rPr>
                <w:kern w:val="0"/>
                <w:szCs w:val="21"/>
              </w:rPr>
              <w:t>下属企业数量</w:t>
            </w:r>
          </w:p>
        </w:tc>
        <w:tc>
          <w:tcPr>
            <w:tcW w:w="2127" w:type="dxa"/>
            <w:shd w:val="clear" w:color="auto" w:fill="auto"/>
            <w:vAlign w:val="center"/>
          </w:tcPr>
          <w:p>
            <w:pPr>
              <w:widowControl/>
              <w:spacing w:line="600" w:lineRule="exact"/>
              <w:jc w:val="left"/>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shd w:val="clear" w:color="auto" w:fill="auto"/>
            <w:vAlign w:val="center"/>
          </w:tcPr>
          <w:p>
            <w:pPr>
              <w:widowControl/>
              <w:spacing w:line="600" w:lineRule="exact"/>
              <w:rPr>
                <w:kern w:val="0"/>
                <w:szCs w:val="21"/>
              </w:rPr>
            </w:pPr>
            <w:r>
              <w:rPr>
                <w:kern w:val="0"/>
                <w:szCs w:val="21"/>
              </w:rPr>
              <w:t>主营业务</w:t>
            </w:r>
          </w:p>
        </w:tc>
        <w:tc>
          <w:tcPr>
            <w:tcW w:w="1985" w:type="dxa"/>
            <w:shd w:val="clear" w:color="auto" w:fill="auto"/>
            <w:vAlign w:val="center"/>
          </w:tcPr>
          <w:p>
            <w:pPr>
              <w:widowControl/>
              <w:spacing w:line="600" w:lineRule="exact"/>
              <w:jc w:val="left"/>
              <w:rPr>
                <w:kern w:val="0"/>
                <w:szCs w:val="21"/>
              </w:rPr>
            </w:pPr>
            <w:r>
              <w:rPr>
                <w:kern w:val="0"/>
                <w:szCs w:val="21"/>
              </w:rPr>
              <w:t>　</w:t>
            </w:r>
          </w:p>
        </w:tc>
        <w:tc>
          <w:tcPr>
            <w:tcW w:w="2551" w:type="dxa"/>
            <w:gridSpan w:val="2"/>
            <w:shd w:val="clear" w:color="auto" w:fill="auto"/>
            <w:vAlign w:val="center"/>
          </w:tcPr>
          <w:p>
            <w:pPr>
              <w:widowControl/>
              <w:spacing w:line="600" w:lineRule="exact"/>
              <w:rPr>
                <w:kern w:val="0"/>
                <w:szCs w:val="21"/>
              </w:rPr>
            </w:pPr>
            <w:r>
              <w:rPr>
                <w:kern w:val="0"/>
                <w:szCs w:val="21"/>
              </w:rPr>
              <w:t>统计行业代码</w:t>
            </w:r>
          </w:p>
        </w:tc>
        <w:tc>
          <w:tcPr>
            <w:tcW w:w="2127" w:type="dxa"/>
            <w:shd w:val="clear" w:color="auto" w:fill="auto"/>
            <w:vAlign w:val="center"/>
          </w:tcPr>
          <w:p>
            <w:pPr>
              <w:widowControl/>
              <w:spacing w:line="600" w:lineRule="exact"/>
              <w:jc w:val="left"/>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shd w:val="clear" w:color="auto" w:fill="auto"/>
            <w:vAlign w:val="center"/>
          </w:tcPr>
          <w:p>
            <w:pPr>
              <w:widowControl/>
              <w:spacing w:line="600" w:lineRule="exact"/>
              <w:rPr>
                <w:kern w:val="0"/>
                <w:szCs w:val="21"/>
              </w:rPr>
            </w:pPr>
            <w:r>
              <w:rPr>
                <w:kern w:val="0"/>
                <w:szCs w:val="21"/>
              </w:rPr>
              <w:t>企业负责人</w:t>
            </w:r>
          </w:p>
        </w:tc>
        <w:tc>
          <w:tcPr>
            <w:tcW w:w="1985" w:type="dxa"/>
            <w:shd w:val="clear" w:color="auto" w:fill="auto"/>
            <w:vAlign w:val="center"/>
          </w:tcPr>
          <w:p>
            <w:pPr>
              <w:widowControl/>
              <w:spacing w:line="600" w:lineRule="exact"/>
              <w:jc w:val="left"/>
              <w:rPr>
                <w:kern w:val="0"/>
                <w:szCs w:val="21"/>
              </w:rPr>
            </w:pPr>
            <w:r>
              <w:rPr>
                <w:kern w:val="0"/>
                <w:szCs w:val="21"/>
              </w:rPr>
              <w:t>　</w:t>
            </w:r>
          </w:p>
        </w:tc>
        <w:tc>
          <w:tcPr>
            <w:tcW w:w="2551" w:type="dxa"/>
            <w:gridSpan w:val="2"/>
            <w:shd w:val="clear" w:color="auto" w:fill="auto"/>
            <w:vAlign w:val="center"/>
          </w:tcPr>
          <w:p>
            <w:pPr>
              <w:widowControl/>
              <w:spacing w:line="600" w:lineRule="exact"/>
              <w:rPr>
                <w:kern w:val="0"/>
                <w:szCs w:val="21"/>
              </w:rPr>
            </w:pPr>
            <w:r>
              <w:rPr>
                <w:kern w:val="0"/>
                <w:szCs w:val="21"/>
              </w:rPr>
              <w:t>联系电话</w:t>
            </w:r>
          </w:p>
        </w:tc>
        <w:tc>
          <w:tcPr>
            <w:tcW w:w="2127" w:type="dxa"/>
            <w:shd w:val="clear" w:color="auto" w:fill="auto"/>
            <w:vAlign w:val="center"/>
          </w:tcPr>
          <w:p>
            <w:pPr>
              <w:widowControl/>
              <w:spacing w:line="600" w:lineRule="exact"/>
              <w:jc w:val="left"/>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shd w:val="clear" w:color="auto" w:fill="auto"/>
            <w:vAlign w:val="center"/>
          </w:tcPr>
          <w:p>
            <w:pPr>
              <w:widowControl/>
              <w:spacing w:line="600" w:lineRule="exact"/>
              <w:rPr>
                <w:kern w:val="0"/>
                <w:szCs w:val="21"/>
              </w:rPr>
            </w:pPr>
            <w:r>
              <w:rPr>
                <w:kern w:val="0"/>
                <w:szCs w:val="21"/>
              </w:rPr>
              <w:t>技术中心负责人</w:t>
            </w:r>
          </w:p>
        </w:tc>
        <w:tc>
          <w:tcPr>
            <w:tcW w:w="1985" w:type="dxa"/>
            <w:shd w:val="clear" w:color="auto" w:fill="auto"/>
            <w:vAlign w:val="center"/>
          </w:tcPr>
          <w:p>
            <w:pPr>
              <w:widowControl/>
              <w:spacing w:line="600" w:lineRule="exact"/>
              <w:jc w:val="left"/>
              <w:rPr>
                <w:kern w:val="0"/>
                <w:szCs w:val="21"/>
              </w:rPr>
            </w:pPr>
            <w:r>
              <w:rPr>
                <w:kern w:val="0"/>
                <w:szCs w:val="21"/>
              </w:rPr>
              <w:t>　</w:t>
            </w:r>
          </w:p>
        </w:tc>
        <w:tc>
          <w:tcPr>
            <w:tcW w:w="2551" w:type="dxa"/>
            <w:gridSpan w:val="2"/>
            <w:shd w:val="clear" w:color="auto" w:fill="auto"/>
            <w:vAlign w:val="center"/>
          </w:tcPr>
          <w:p>
            <w:pPr>
              <w:widowControl/>
              <w:spacing w:line="600" w:lineRule="exact"/>
              <w:rPr>
                <w:kern w:val="0"/>
                <w:szCs w:val="21"/>
              </w:rPr>
            </w:pPr>
            <w:r>
              <w:rPr>
                <w:kern w:val="0"/>
                <w:szCs w:val="21"/>
              </w:rPr>
              <w:t>联系电话</w:t>
            </w:r>
          </w:p>
        </w:tc>
        <w:tc>
          <w:tcPr>
            <w:tcW w:w="2127" w:type="dxa"/>
            <w:shd w:val="clear" w:color="auto" w:fill="auto"/>
            <w:vAlign w:val="center"/>
          </w:tcPr>
          <w:p>
            <w:pPr>
              <w:widowControl/>
              <w:spacing w:line="600" w:lineRule="exact"/>
              <w:jc w:val="left"/>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shd w:val="clear" w:color="auto" w:fill="auto"/>
            <w:vAlign w:val="center"/>
          </w:tcPr>
          <w:p>
            <w:pPr>
              <w:widowControl/>
              <w:spacing w:line="600" w:lineRule="exact"/>
              <w:rPr>
                <w:kern w:val="0"/>
                <w:szCs w:val="21"/>
              </w:rPr>
            </w:pPr>
            <w:r>
              <w:rPr>
                <w:kern w:val="0"/>
                <w:szCs w:val="21"/>
              </w:rPr>
              <w:t>联系人</w:t>
            </w:r>
          </w:p>
        </w:tc>
        <w:tc>
          <w:tcPr>
            <w:tcW w:w="1985" w:type="dxa"/>
            <w:shd w:val="clear" w:color="auto" w:fill="auto"/>
            <w:vAlign w:val="center"/>
          </w:tcPr>
          <w:p>
            <w:pPr>
              <w:widowControl/>
              <w:spacing w:line="600" w:lineRule="exact"/>
              <w:jc w:val="left"/>
              <w:rPr>
                <w:kern w:val="0"/>
                <w:szCs w:val="21"/>
              </w:rPr>
            </w:pPr>
            <w:r>
              <w:rPr>
                <w:kern w:val="0"/>
                <w:szCs w:val="21"/>
              </w:rPr>
              <w:t>　</w:t>
            </w:r>
          </w:p>
        </w:tc>
        <w:tc>
          <w:tcPr>
            <w:tcW w:w="2551" w:type="dxa"/>
            <w:gridSpan w:val="2"/>
            <w:shd w:val="clear" w:color="auto" w:fill="auto"/>
            <w:vAlign w:val="center"/>
          </w:tcPr>
          <w:p>
            <w:pPr>
              <w:widowControl/>
              <w:spacing w:line="600" w:lineRule="exact"/>
              <w:rPr>
                <w:kern w:val="0"/>
                <w:szCs w:val="21"/>
              </w:rPr>
            </w:pPr>
            <w:r>
              <w:rPr>
                <w:kern w:val="0"/>
                <w:szCs w:val="21"/>
              </w:rPr>
              <w:t>联系电话</w:t>
            </w:r>
          </w:p>
        </w:tc>
        <w:tc>
          <w:tcPr>
            <w:tcW w:w="2127" w:type="dxa"/>
            <w:shd w:val="clear" w:color="auto" w:fill="auto"/>
            <w:vAlign w:val="center"/>
          </w:tcPr>
          <w:p>
            <w:pPr>
              <w:widowControl/>
              <w:spacing w:line="600" w:lineRule="exact"/>
              <w:jc w:val="left"/>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shd w:val="clear" w:color="auto" w:fill="auto"/>
            <w:vAlign w:val="center"/>
          </w:tcPr>
          <w:p>
            <w:pPr>
              <w:widowControl/>
              <w:spacing w:line="600" w:lineRule="exact"/>
              <w:rPr>
                <w:kern w:val="0"/>
                <w:szCs w:val="21"/>
              </w:rPr>
            </w:pPr>
            <w:r>
              <w:rPr>
                <w:kern w:val="0"/>
                <w:szCs w:val="21"/>
              </w:rPr>
              <w:t>电子邮件</w:t>
            </w:r>
          </w:p>
        </w:tc>
        <w:tc>
          <w:tcPr>
            <w:tcW w:w="1985" w:type="dxa"/>
            <w:shd w:val="clear" w:color="auto" w:fill="auto"/>
            <w:vAlign w:val="center"/>
          </w:tcPr>
          <w:p>
            <w:pPr>
              <w:widowControl/>
              <w:spacing w:line="600" w:lineRule="exact"/>
              <w:jc w:val="left"/>
              <w:rPr>
                <w:kern w:val="0"/>
                <w:szCs w:val="21"/>
              </w:rPr>
            </w:pPr>
            <w:r>
              <w:rPr>
                <w:kern w:val="0"/>
                <w:szCs w:val="21"/>
              </w:rPr>
              <w:t>　</w:t>
            </w:r>
          </w:p>
        </w:tc>
        <w:tc>
          <w:tcPr>
            <w:tcW w:w="2551" w:type="dxa"/>
            <w:gridSpan w:val="2"/>
            <w:shd w:val="clear" w:color="auto" w:fill="auto"/>
            <w:vAlign w:val="center"/>
          </w:tcPr>
          <w:p>
            <w:pPr>
              <w:widowControl/>
              <w:spacing w:line="600" w:lineRule="exact"/>
              <w:rPr>
                <w:kern w:val="0"/>
                <w:szCs w:val="21"/>
              </w:rPr>
            </w:pPr>
            <w:r>
              <w:rPr>
                <w:kern w:val="0"/>
                <w:szCs w:val="21"/>
              </w:rPr>
              <w:t>联系传真</w:t>
            </w:r>
          </w:p>
        </w:tc>
        <w:tc>
          <w:tcPr>
            <w:tcW w:w="2127" w:type="dxa"/>
            <w:shd w:val="clear" w:color="auto" w:fill="auto"/>
            <w:vAlign w:val="center"/>
          </w:tcPr>
          <w:p>
            <w:pPr>
              <w:widowControl/>
              <w:spacing w:line="600" w:lineRule="exact"/>
              <w:jc w:val="left"/>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shd w:val="clear" w:color="auto" w:fill="auto"/>
            <w:vAlign w:val="center"/>
          </w:tcPr>
          <w:p>
            <w:pPr>
              <w:widowControl/>
              <w:spacing w:line="600" w:lineRule="exact"/>
              <w:rPr>
                <w:kern w:val="0"/>
                <w:szCs w:val="21"/>
              </w:rPr>
            </w:pPr>
            <w:r>
              <w:rPr>
                <w:kern w:val="0"/>
                <w:szCs w:val="21"/>
              </w:rPr>
              <w:t>企业网址</w:t>
            </w:r>
          </w:p>
        </w:tc>
        <w:tc>
          <w:tcPr>
            <w:tcW w:w="1985" w:type="dxa"/>
            <w:shd w:val="clear" w:color="auto" w:fill="auto"/>
            <w:vAlign w:val="center"/>
          </w:tcPr>
          <w:p>
            <w:pPr>
              <w:widowControl/>
              <w:spacing w:line="600" w:lineRule="exact"/>
              <w:jc w:val="left"/>
              <w:rPr>
                <w:kern w:val="0"/>
                <w:szCs w:val="21"/>
              </w:rPr>
            </w:pPr>
            <w:r>
              <w:rPr>
                <w:kern w:val="0"/>
                <w:szCs w:val="21"/>
              </w:rPr>
              <w:t>　</w:t>
            </w:r>
          </w:p>
        </w:tc>
        <w:tc>
          <w:tcPr>
            <w:tcW w:w="2551" w:type="dxa"/>
            <w:gridSpan w:val="2"/>
            <w:shd w:val="clear" w:color="auto" w:fill="auto"/>
            <w:vAlign w:val="center"/>
          </w:tcPr>
          <w:p>
            <w:pPr>
              <w:widowControl/>
              <w:spacing w:line="600" w:lineRule="exact"/>
              <w:rPr>
                <w:kern w:val="0"/>
                <w:szCs w:val="21"/>
              </w:rPr>
            </w:pPr>
            <w:r>
              <w:rPr>
                <w:kern w:val="0"/>
                <w:szCs w:val="21"/>
              </w:rPr>
              <w:t>报告年度</w:t>
            </w:r>
          </w:p>
        </w:tc>
        <w:tc>
          <w:tcPr>
            <w:tcW w:w="2127" w:type="dxa"/>
            <w:shd w:val="clear" w:color="auto" w:fill="auto"/>
            <w:vAlign w:val="center"/>
          </w:tcPr>
          <w:p>
            <w:pPr>
              <w:widowControl/>
              <w:spacing w:line="6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bCs/>
                <w:kern w:val="0"/>
                <w:szCs w:val="21"/>
              </w:rPr>
            </w:pPr>
            <w:r>
              <w:rPr>
                <w:bCs/>
                <w:kern w:val="0"/>
                <w:szCs w:val="21"/>
              </w:rPr>
              <w:t>序号</w:t>
            </w:r>
          </w:p>
        </w:tc>
        <w:tc>
          <w:tcPr>
            <w:tcW w:w="5103" w:type="dxa"/>
            <w:gridSpan w:val="3"/>
            <w:shd w:val="clear" w:color="auto" w:fill="auto"/>
            <w:vAlign w:val="center"/>
          </w:tcPr>
          <w:p>
            <w:pPr>
              <w:widowControl/>
              <w:spacing w:line="600" w:lineRule="exact"/>
              <w:jc w:val="center"/>
              <w:rPr>
                <w:bCs/>
                <w:kern w:val="0"/>
                <w:szCs w:val="21"/>
              </w:rPr>
            </w:pPr>
            <w:r>
              <w:rPr>
                <w:bCs/>
                <w:kern w:val="0"/>
                <w:szCs w:val="21"/>
              </w:rPr>
              <w:t>指标名称</w:t>
            </w:r>
          </w:p>
        </w:tc>
        <w:tc>
          <w:tcPr>
            <w:tcW w:w="850" w:type="dxa"/>
            <w:shd w:val="clear" w:color="auto" w:fill="auto"/>
            <w:vAlign w:val="center"/>
          </w:tcPr>
          <w:p>
            <w:pPr>
              <w:widowControl/>
              <w:spacing w:line="600" w:lineRule="exact"/>
              <w:jc w:val="center"/>
              <w:rPr>
                <w:bCs/>
                <w:kern w:val="0"/>
                <w:szCs w:val="21"/>
              </w:rPr>
            </w:pPr>
            <w:r>
              <w:rPr>
                <w:bCs/>
                <w:kern w:val="0"/>
                <w:szCs w:val="21"/>
              </w:rPr>
              <w:t>单位</w:t>
            </w:r>
          </w:p>
        </w:tc>
        <w:tc>
          <w:tcPr>
            <w:tcW w:w="2127" w:type="dxa"/>
            <w:shd w:val="clear" w:color="auto" w:fill="auto"/>
            <w:vAlign w:val="center"/>
          </w:tcPr>
          <w:p>
            <w:pPr>
              <w:widowControl/>
              <w:spacing w:line="600" w:lineRule="exact"/>
              <w:jc w:val="center"/>
              <w:rPr>
                <w:bCs/>
                <w:kern w:val="0"/>
                <w:szCs w:val="21"/>
              </w:rPr>
            </w:pPr>
            <w:r>
              <w:rPr>
                <w:bCs/>
                <w:kern w:val="0"/>
                <w:szCs w:val="21"/>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w:t>
            </w:r>
          </w:p>
        </w:tc>
        <w:tc>
          <w:tcPr>
            <w:tcW w:w="5103" w:type="dxa"/>
            <w:gridSpan w:val="3"/>
            <w:shd w:val="clear" w:color="auto" w:fill="auto"/>
            <w:vAlign w:val="center"/>
          </w:tcPr>
          <w:p>
            <w:pPr>
              <w:widowControl/>
              <w:spacing w:line="600" w:lineRule="exact"/>
              <w:rPr>
                <w:kern w:val="0"/>
                <w:szCs w:val="21"/>
              </w:rPr>
            </w:pPr>
            <w:r>
              <w:rPr>
                <w:kern w:val="0"/>
                <w:szCs w:val="21"/>
              </w:rPr>
              <w:t>主营业务收入</w:t>
            </w:r>
          </w:p>
        </w:tc>
        <w:tc>
          <w:tcPr>
            <w:tcW w:w="850" w:type="dxa"/>
            <w:shd w:val="clear" w:color="auto" w:fill="auto"/>
            <w:vAlign w:val="center"/>
          </w:tcPr>
          <w:p>
            <w:pPr>
              <w:widowControl/>
              <w:spacing w:line="600" w:lineRule="exact"/>
              <w:jc w:val="center"/>
              <w:rPr>
                <w:kern w:val="0"/>
                <w:szCs w:val="21"/>
              </w:rPr>
            </w:pPr>
            <w:r>
              <w:rPr>
                <w:kern w:val="0"/>
                <w:szCs w:val="21"/>
              </w:rPr>
              <w:t>万元</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2</w:t>
            </w:r>
          </w:p>
        </w:tc>
        <w:tc>
          <w:tcPr>
            <w:tcW w:w="5103" w:type="dxa"/>
            <w:gridSpan w:val="3"/>
            <w:shd w:val="clear" w:color="auto" w:fill="auto"/>
            <w:vAlign w:val="center"/>
          </w:tcPr>
          <w:p>
            <w:pPr>
              <w:widowControl/>
              <w:spacing w:line="600" w:lineRule="exact"/>
              <w:rPr>
                <w:kern w:val="0"/>
                <w:szCs w:val="21"/>
              </w:rPr>
            </w:pPr>
            <w:r>
              <w:rPr>
                <w:kern w:val="0"/>
                <w:szCs w:val="21"/>
              </w:rPr>
              <w:t>研究与试验发展经费支出</w:t>
            </w:r>
          </w:p>
        </w:tc>
        <w:tc>
          <w:tcPr>
            <w:tcW w:w="850" w:type="dxa"/>
            <w:shd w:val="clear" w:color="auto" w:fill="auto"/>
            <w:vAlign w:val="center"/>
          </w:tcPr>
          <w:p>
            <w:pPr>
              <w:widowControl/>
              <w:spacing w:line="600" w:lineRule="exact"/>
              <w:jc w:val="center"/>
              <w:rPr>
                <w:kern w:val="0"/>
                <w:szCs w:val="21"/>
              </w:rPr>
            </w:pPr>
            <w:r>
              <w:rPr>
                <w:kern w:val="0"/>
                <w:szCs w:val="21"/>
              </w:rPr>
              <w:t>万元</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3</w:t>
            </w:r>
          </w:p>
        </w:tc>
        <w:tc>
          <w:tcPr>
            <w:tcW w:w="5103" w:type="dxa"/>
            <w:gridSpan w:val="3"/>
            <w:shd w:val="clear" w:color="auto" w:fill="auto"/>
            <w:vAlign w:val="center"/>
          </w:tcPr>
          <w:p>
            <w:pPr>
              <w:widowControl/>
              <w:spacing w:line="600" w:lineRule="exact"/>
              <w:rPr>
                <w:kern w:val="0"/>
                <w:szCs w:val="21"/>
              </w:rPr>
            </w:pPr>
            <w:r>
              <w:rPr>
                <w:kern w:val="0"/>
                <w:szCs w:val="21"/>
              </w:rPr>
              <w:t>研究与试验发展人员数</w:t>
            </w:r>
          </w:p>
        </w:tc>
        <w:tc>
          <w:tcPr>
            <w:tcW w:w="850" w:type="dxa"/>
            <w:shd w:val="clear" w:color="auto" w:fill="auto"/>
            <w:vAlign w:val="center"/>
          </w:tcPr>
          <w:p>
            <w:pPr>
              <w:widowControl/>
              <w:spacing w:line="600" w:lineRule="exact"/>
              <w:jc w:val="center"/>
              <w:rPr>
                <w:kern w:val="0"/>
                <w:szCs w:val="21"/>
              </w:rPr>
            </w:pPr>
            <w:r>
              <w:rPr>
                <w:kern w:val="0"/>
                <w:szCs w:val="21"/>
              </w:rPr>
              <w:t>人</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4</w:t>
            </w:r>
          </w:p>
        </w:tc>
        <w:tc>
          <w:tcPr>
            <w:tcW w:w="5103" w:type="dxa"/>
            <w:gridSpan w:val="3"/>
            <w:shd w:val="clear" w:color="auto" w:fill="auto"/>
            <w:vAlign w:val="center"/>
          </w:tcPr>
          <w:p>
            <w:pPr>
              <w:widowControl/>
              <w:spacing w:line="600" w:lineRule="exact"/>
              <w:rPr>
                <w:kern w:val="0"/>
                <w:szCs w:val="21"/>
              </w:rPr>
            </w:pPr>
            <w:r>
              <w:rPr>
                <w:kern w:val="0"/>
                <w:szCs w:val="21"/>
              </w:rPr>
              <w:t>企业职工总数</w:t>
            </w:r>
          </w:p>
        </w:tc>
        <w:tc>
          <w:tcPr>
            <w:tcW w:w="850" w:type="dxa"/>
            <w:shd w:val="clear" w:color="auto" w:fill="auto"/>
            <w:vAlign w:val="center"/>
          </w:tcPr>
          <w:p>
            <w:pPr>
              <w:widowControl/>
              <w:spacing w:line="600" w:lineRule="exact"/>
              <w:jc w:val="center"/>
              <w:rPr>
                <w:kern w:val="0"/>
                <w:szCs w:val="21"/>
              </w:rPr>
            </w:pPr>
            <w:r>
              <w:rPr>
                <w:kern w:val="0"/>
                <w:szCs w:val="21"/>
              </w:rPr>
              <w:t>人</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5</w:t>
            </w:r>
          </w:p>
        </w:tc>
        <w:tc>
          <w:tcPr>
            <w:tcW w:w="5103" w:type="dxa"/>
            <w:gridSpan w:val="3"/>
            <w:shd w:val="clear" w:color="auto" w:fill="auto"/>
            <w:vAlign w:val="center"/>
          </w:tcPr>
          <w:p>
            <w:pPr>
              <w:widowControl/>
              <w:spacing w:line="600" w:lineRule="exact"/>
              <w:rPr>
                <w:kern w:val="0"/>
                <w:szCs w:val="21"/>
              </w:rPr>
            </w:pPr>
            <w:r>
              <w:rPr>
                <w:kern w:val="0"/>
                <w:szCs w:val="21"/>
              </w:rPr>
              <w:t>技术中心高级专家人数、</w:t>
            </w:r>
          </w:p>
        </w:tc>
        <w:tc>
          <w:tcPr>
            <w:tcW w:w="850" w:type="dxa"/>
            <w:shd w:val="clear" w:color="auto" w:fill="auto"/>
            <w:vAlign w:val="center"/>
          </w:tcPr>
          <w:p>
            <w:pPr>
              <w:widowControl/>
              <w:spacing w:line="600" w:lineRule="exact"/>
              <w:jc w:val="center"/>
              <w:rPr>
                <w:kern w:val="0"/>
                <w:szCs w:val="21"/>
              </w:rPr>
            </w:pPr>
            <w:r>
              <w:rPr>
                <w:kern w:val="0"/>
                <w:szCs w:val="21"/>
              </w:rPr>
              <w:t>人</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6</w:t>
            </w:r>
          </w:p>
        </w:tc>
        <w:tc>
          <w:tcPr>
            <w:tcW w:w="5103" w:type="dxa"/>
            <w:gridSpan w:val="3"/>
            <w:shd w:val="clear" w:color="auto" w:fill="auto"/>
            <w:vAlign w:val="center"/>
          </w:tcPr>
          <w:p>
            <w:pPr>
              <w:widowControl/>
              <w:spacing w:line="600" w:lineRule="exact"/>
              <w:rPr>
                <w:kern w:val="0"/>
                <w:szCs w:val="21"/>
              </w:rPr>
            </w:pPr>
            <w:r>
              <w:rPr>
                <w:kern w:val="0"/>
                <w:szCs w:val="21"/>
              </w:rPr>
              <w:t>技术中心博士人数</w:t>
            </w:r>
          </w:p>
        </w:tc>
        <w:tc>
          <w:tcPr>
            <w:tcW w:w="850" w:type="dxa"/>
            <w:shd w:val="clear" w:color="auto" w:fill="auto"/>
            <w:vAlign w:val="center"/>
          </w:tcPr>
          <w:p>
            <w:pPr>
              <w:widowControl/>
              <w:spacing w:line="600" w:lineRule="exact"/>
              <w:jc w:val="center"/>
              <w:rPr>
                <w:kern w:val="0"/>
                <w:szCs w:val="21"/>
              </w:rPr>
            </w:pPr>
            <w:r>
              <w:rPr>
                <w:kern w:val="0"/>
                <w:szCs w:val="21"/>
              </w:rPr>
              <w:t>人</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7</w:t>
            </w:r>
          </w:p>
        </w:tc>
        <w:tc>
          <w:tcPr>
            <w:tcW w:w="5103" w:type="dxa"/>
            <w:gridSpan w:val="3"/>
            <w:shd w:val="clear" w:color="auto" w:fill="auto"/>
            <w:vAlign w:val="center"/>
          </w:tcPr>
          <w:p>
            <w:pPr>
              <w:widowControl/>
              <w:spacing w:line="600" w:lineRule="exact"/>
              <w:rPr>
                <w:kern w:val="0"/>
                <w:szCs w:val="21"/>
              </w:rPr>
            </w:pPr>
            <w:r>
              <w:rPr>
                <w:kern w:val="0"/>
                <w:szCs w:val="21"/>
              </w:rPr>
              <w:t>来技术中心从事研发工作的外部专家人数</w:t>
            </w:r>
          </w:p>
        </w:tc>
        <w:tc>
          <w:tcPr>
            <w:tcW w:w="850" w:type="dxa"/>
            <w:shd w:val="clear" w:color="auto" w:fill="auto"/>
            <w:vAlign w:val="center"/>
          </w:tcPr>
          <w:p>
            <w:pPr>
              <w:widowControl/>
              <w:spacing w:line="600" w:lineRule="exact"/>
              <w:jc w:val="center"/>
              <w:rPr>
                <w:kern w:val="0"/>
                <w:szCs w:val="21"/>
              </w:rPr>
            </w:pPr>
            <w:r>
              <w:rPr>
                <w:kern w:val="0"/>
                <w:szCs w:val="21"/>
              </w:rPr>
              <w:t>人月</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8</w:t>
            </w:r>
          </w:p>
        </w:tc>
        <w:tc>
          <w:tcPr>
            <w:tcW w:w="5103" w:type="dxa"/>
            <w:gridSpan w:val="3"/>
            <w:shd w:val="clear" w:color="auto" w:fill="auto"/>
            <w:vAlign w:val="center"/>
          </w:tcPr>
          <w:p>
            <w:pPr>
              <w:widowControl/>
              <w:spacing w:line="600" w:lineRule="exact"/>
              <w:rPr>
                <w:kern w:val="0"/>
                <w:szCs w:val="21"/>
              </w:rPr>
            </w:pPr>
            <w:r>
              <w:rPr>
                <w:kern w:val="0"/>
                <w:szCs w:val="21"/>
              </w:rPr>
              <w:t>企业全部研发项目数</w:t>
            </w:r>
          </w:p>
        </w:tc>
        <w:tc>
          <w:tcPr>
            <w:tcW w:w="850" w:type="dxa"/>
            <w:shd w:val="clear" w:color="auto" w:fill="auto"/>
            <w:vAlign w:val="center"/>
          </w:tcPr>
          <w:p>
            <w:pPr>
              <w:widowControl/>
              <w:spacing w:line="600" w:lineRule="exact"/>
              <w:jc w:val="center"/>
              <w:rPr>
                <w:kern w:val="0"/>
                <w:szCs w:val="21"/>
              </w:rPr>
            </w:pPr>
            <w:r>
              <w:rPr>
                <w:kern w:val="0"/>
                <w:szCs w:val="21"/>
              </w:rPr>
              <w:t>项</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　</w:t>
            </w:r>
          </w:p>
        </w:tc>
        <w:tc>
          <w:tcPr>
            <w:tcW w:w="5103" w:type="dxa"/>
            <w:gridSpan w:val="3"/>
            <w:shd w:val="clear" w:color="auto" w:fill="auto"/>
            <w:vAlign w:val="center"/>
          </w:tcPr>
          <w:p>
            <w:pPr>
              <w:widowControl/>
              <w:spacing w:line="600" w:lineRule="exact"/>
              <w:rPr>
                <w:kern w:val="0"/>
                <w:szCs w:val="21"/>
              </w:rPr>
            </w:pPr>
            <w:r>
              <w:rPr>
                <w:kern w:val="0"/>
                <w:szCs w:val="21"/>
              </w:rPr>
              <w:t>其中：基础研究和应用研究项目数</w:t>
            </w:r>
          </w:p>
        </w:tc>
        <w:tc>
          <w:tcPr>
            <w:tcW w:w="850" w:type="dxa"/>
            <w:shd w:val="clear" w:color="auto" w:fill="auto"/>
            <w:vAlign w:val="center"/>
          </w:tcPr>
          <w:p>
            <w:pPr>
              <w:widowControl/>
              <w:spacing w:line="600" w:lineRule="exact"/>
              <w:jc w:val="center"/>
              <w:rPr>
                <w:kern w:val="0"/>
                <w:szCs w:val="21"/>
              </w:rPr>
            </w:pPr>
            <w:r>
              <w:rPr>
                <w:kern w:val="0"/>
                <w:szCs w:val="21"/>
              </w:rPr>
              <w:t>项</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9</w:t>
            </w:r>
          </w:p>
        </w:tc>
        <w:tc>
          <w:tcPr>
            <w:tcW w:w="5103" w:type="dxa"/>
            <w:gridSpan w:val="3"/>
            <w:shd w:val="clear" w:color="auto" w:fill="auto"/>
            <w:vAlign w:val="center"/>
          </w:tcPr>
          <w:p>
            <w:pPr>
              <w:widowControl/>
              <w:spacing w:line="600" w:lineRule="exact"/>
              <w:rPr>
                <w:kern w:val="0"/>
                <w:szCs w:val="21"/>
              </w:rPr>
            </w:pPr>
            <w:r>
              <w:rPr>
                <w:kern w:val="0"/>
                <w:szCs w:val="21"/>
              </w:rPr>
              <w:t>省级及以上研发平台数</w:t>
            </w:r>
          </w:p>
        </w:tc>
        <w:tc>
          <w:tcPr>
            <w:tcW w:w="850" w:type="dxa"/>
            <w:shd w:val="clear" w:color="auto" w:fill="auto"/>
            <w:vAlign w:val="center"/>
          </w:tcPr>
          <w:p>
            <w:pPr>
              <w:widowControl/>
              <w:spacing w:line="600" w:lineRule="exact"/>
              <w:jc w:val="center"/>
              <w:rPr>
                <w:kern w:val="0"/>
                <w:szCs w:val="21"/>
              </w:rPr>
            </w:pPr>
            <w:r>
              <w:rPr>
                <w:kern w:val="0"/>
                <w:szCs w:val="21"/>
              </w:rPr>
              <w:t>个</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10</w:t>
            </w:r>
          </w:p>
        </w:tc>
        <w:tc>
          <w:tcPr>
            <w:tcW w:w="5103" w:type="dxa"/>
            <w:gridSpan w:val="3"/>
            <w:shd w:val="clear" w:color="auto" w:fill="auto"/>
            <w:vAlign w:val="center"/>
          </w:tcPr>
          <w:p>
            <w:pPr>
              <w:widowControl/>
              <w:spacing w:line="600" w:lineRule="exact"/>
              <w:rPr>
                <w:kern w:val="0"/>
                <w:szCs w:val="21"/>
              </w:rPr>
            </w:pPr>
            <w:r>
              <w:rPr>
                <w:kern w:val="0"/>
                <w:szCs w:val="21"/>
              </w:rPr>
              <w:t>通过省级以上（国际组织）认证的实验室和检测机构数</w:t>
            </w:r>
          </w:p>
        </w:tc>
        <w:tc>
          <w:tcPr>
            <w:tcW w:w="850" w:type="dxa"/>
            <w:shd w:val="clear" w:color="auto" w:fill="auto"/>
            <w:vAlign w:val="center"/>
          </w:tcPr>
          <w:p>
            <w:pPr>
              <w:widowControl/>
              <w:spacing w:line="600" w:lineRule="exact"/>
              <w:jc w:val="center"/>
              <w:rPr>
                <w:kern w:val="0"/>
                <w:szCs w:val="21"/>
              </w:rPr>
            </w:pPr>
            <w:r>
              <w:rPr>
                <w:kern w:val="0"/>
                <w:szCs w:val="21"/>
              </w:rPr>
              <w:t>个</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11</w:t>
            </w:r>
          </w:p>
        </w:tc>
        <w:tc>
          <w:tcPr>
            <w:tcW w:w="5103" w:type="dxa"/>
            <w:gridSpan w:val="3"/>
            <w:shd w:val="clear" w:color="auto" w:fill="auto"/>
            <w:vAlign w:val="center"/>
          </w:tcPr>
          <w:p>
            <w:pPr>
              <w:widowControl/>
              <w:spacing w:line="600" w:lineRule="exact"/>
              <w:rPr>
                <w:kern w:val="0"/>
                <w:szCs w:val="21"/>
              </w:rPr>
            </w:pPr>
            <w:r>
              <w:rPr>
                <w:kern w:val="0"/>
                <w:szCs w:val="21"/>
              </w:rPr>
              <w:t>企业技术开发仪器设备原值</w:t>
            </w:r>
          </w:p>
        </w:tc>
        <w:tc>
          <w:tcPr>
            <w:tcW w:w="850" w:type="dxa"/>
            <w:shd w:val="clear" w:color="auto" w:fill="auto"/>
            <w:vAlign w:val="center"/>
          </w:tcPr>
          <w:p>
            <w:pPr>
              <w:widowControl/>
              <w:spacing w:line="600" w:lineRule="exact"/>
              <w:jc w:val="center"/>
              <w:rPr>
                <w:kern w:val="0"/>
                <w:szCs w:val="21"/>
              </w:rPr>
            </w:pPr>
            <w:r>
              <w:rPr>
                <w:kern w:val="0"/>
                <w:szCs w:val="21"/>
              </w:rPr>
              <w:t>万元</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12</w:t>
            </w:r>
          </w:p>
        </w:tc>
        <w:tc>
          <w:tcPr>
            <w:tcW w:w="5103" w:type="dxa"/>
            <w:gridSpan w:val="3"/>
            <w:shd w:val="clear" w:color="auto" w:fill="auto"/>
            <w:vAlign w:val="center"/>
          </w:tcPr>
          <w:p>
            <w:pPr>
              <w:widowControl/>
              <w:spacing w:line="600" w:lineRule="exact"/>
              <w:rPr>
                <w:kern w:val="0"/>
                <w:szCs w:val="21"/>
              </w:rPr>
            </w:pPr>
            <w:r>
              <w:rPr>
                <w:kern w:val="0"/>
                <w:szCs w:val="21"/>
              </w:rPr>
              <w:t>企业拥有的全部有效发明专利数、</w:t>
            </w:r>
          </w:p>
        </w:tc>
        <w:tc>
          <w:tcPr>
            <w:tcW w:w="850" w:type="dxa"/>
            <w:shd w:val="clear" w:color="auto" w:fill="auto"/>
            <w:vAlign w:val="center"/>
          </w:tcPr>
          <w:p>
            <w:pPr>
              <w:widowControl/>
              <w:spacing w:line="600" w:lineRule="exact"/>
              <w:jc w:val="center"/>
              <w:rPr>
                <w:kern w:val="0"/>
                <w:szCs w:val="21"/>
              </w:rPr>
            </w:pPr>
            <w:r>
              <w:rPr>
                <w:kern w:val="0"/>
                <w:szCs w:val="21"/>
              </w:rPr>
              <w:t>项</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13</w:t>
            </w:r>
          </w:p>
        </w:tc>
        <w:tc>
          <w:tcPr>
            <w:tcW w:w="5103" w:type="dxa"/>
            <w:gridSpan w:val="3"/>
            <w:shd w:val="clear" w:color="auto" w:fill="auto"/>
            <w:vAlign w:val="center"/>
          </w:tcPr>
          <w:p>
            <w:pPr>
              <w:widowControl/>
              <w:spacing w:line="600" w:lineRule="exact"/>
              <w:rPr>
                <w:kern w:val="0"/>
                <w:szCs w:val="21"/>
              </w:rPr>
            </w:pPr>
            <w:r>
              <w:rPr>
                <w:kern w:val="0"/>
                <w:szCs w:val="21"/>
              </w:rPr>
              <w:t>当年被受理的专利申请数</w:t>
            </w:r>
          </w:p>
        </w:tc>
        <w:tc>
          <w:tcPr>
            <w:tcW w:w="850" w:type="dxa"/>
            <w:shd w:val="clear" w:color="auto" w:fill="auto"/>
            <w:vAlign w:val="center"/>
          </w:tcPr>
          <w:p>
            <w:pPr>
              <w:widowControl/>
              <w:spacing w:line="600" w:lineRule="exact"/>
              <w:jc w:val="center"/>
              <w:rPr>
                <w:kern w:val="0"/>
                <w:szCs w:val="21"/>
              </w:rPr>
            </w:pPr>
            <w:r>
              <w:rPr>
                <w:kern w:val="0"/>
                <w:szCs w:val="21"/>
              </w:rPr>
              <w:t>项</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p>
        </w:tc>
        <w:tc>
          <w:tcPr>
            <w:tcW w:w="5103" w:type="dxa"/>
            <w:gridSpan w:val="3"/>
            <w:shd w:val="clear" w:color="auto" w:fill="auto"/>
            <w:vAlign w:val="center"/>
          </w:tcPr>
          <w:p>
            <w:pPr>
              <w:widowControl/>
              <w:spacing w:line="600" w:lineRule="exact"/>
              <w:rPr>
                <w:kern w:val="0"/>
                <w:szCs w:val="21"/>
              </w:rPr>
            </w:pPr>
            <w:r>
              <w:rPr>
                <w:kern w:val="0"/>
                <w:szCs w:val="21"/>
              </w:rPr>
              <w:t>其中：被受理的发明专利申请数</w:t>
            </w:r>
          </w:p>
        </w:tc>
        <w:tc>
          <w:tcPr>
            <w:tcW w:w="850" w:type="dxa"/>
            <w:shd w:val="clear" w:color="auto" w:fill="auto"/>
            <w:vAlign w:val="center"/>
          </w:tcPr>
          <w:p>
            <w:pPr>
              <w:widowControl/>
              <w:spacing w:line="600" w:lineRule="exact"/>
              <w:jc w:val="center"/>
              <w:rPr>
                <w:kern w:val="0"/>
                <w:szCs w:val="21"/>
              </w:rPr>
            </w:pPr>
            <w:r>
              <w:rPr>
                <w:kern w:val="0"/>
                <w:szCs w:val="21"/>
              </w:rPr>
              <w:t>项</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14</w:t>
            </w:r>
          </w:p>
        </w:tc>
        <w:tc>
          <w:tcPr>
            <w:tcW w:w="5103" w:type="dxa"/>
            <w:gridSpan w:val="3"/>
            <w:shd w:val="clear" w:color="auto" w:fill="auto"/>
            <w:vAlign w:val="center"/>
          </w:tcPr>
          <w:p>
            <w:pPr>
              <w:widowControl/>
              <w:spacing w:line="600" w:lineRule="exact"/>
              <w:rPr>
                <w:kern w:val="0"/>
                <w:szCs w:val="21"/>
              </w:rPr>
            </w:pPr>
            <w:r>
              <w:rPr>
                <w:kern w:val="0"/>
                <w:szCs w:val="21"/>
              </w:rPr>
              <w:t>最近三年主持和参加制定的国际、国家和行业标准数</w:t>
            </w:r>
          </w:p>
        </w:tc>
        <w:tc>
          <w:tcPr>
            <w:tcW w:w="850" w:type="dxa"/>
            <w:shd w:val="clear" w:color="auto" w:fill="auto"/>
            <w:vAlign w:val="center"/>
          </w:tcPr>
          <w:p>
            <w:pPr>
              <w:widowControl/>
              <w:spacing w:line="600" w:lineRule="exact"/>
              <w:jc w:val="center"/>
              <w:rPr>
                <w:kern w:val="0"/>
                <w:szCs w:val="21"/>
              </w:rPr>
            </w:pPr>
            <w:r>
              <w:rPr>
                <w:kern w:val="0"/>
                <w:szCs w:val="21"/>
              </w:rPr>
              <w:t>项</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15</w:t>
            </w:r>
          </w:p>
        </w:tc>
        <w:tc>
          <w:tcPr>
            <w:tcW w:w="5103" w:type="dxa"/>
            <w:gridSpan w:val="3"/>
            <w:shd w:val="clear" w:color="auto" w:fill="auto"/>
            <w:vAlign w:val="center"/>
          </w:tcPr>
          <w:p>
            <w:pPr>
              <w:widowControl/>
              <w:spacing w:line="600" w:lineRule="exact"/>
              <w:rPr>
                <w:kern w:val="0"/>
                <w:szCs w:val="21"/>
              </w:rPr>
            </w:pPr>
            <w:r>
              <w:rPr>
                <w:kern w:val="0"/>
                <w:szCs w:val="21"/>
              </w:rPr>
              <w:t>新产品销售收入</w:t>
            </w:r>
          </w:p>
        </w:tc>
        <w:tc>
          <w:tcPr>
            <w:tcW w:w="850" w:type="dxa"/>
            <w:shd w:val="clear" w:color="auto" w:fill="auto"/>
            <w:vAlign w:val="center"/>
          </w:tcPr>
          <w:p>
            <w:pPr>
              <w:widowControl/>
              <w:spacing w:line="600" w:lineRule="exact"/>
              <w:jc w:val="center"/>
              <w:rPr>
                <w:kern w:val="0"/>
                <w:szCs w:val="21"/>
              </w:rPr>
            </w:pPr>
            <w:r>
              <w:rPr>
                <w:kern w:val="0"/>
                <w:szCs w:val="21"/>
              </w:rPr>
              <w:t>万元</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16</w:t>
            </w:r>
          </w:p>
        </w:tc>
        <w:tc>
          <w:tcPr>
            <w:tcW w:w="5103" w:type="dxa"/>
            <w:gridSpan w:val="3"/>
            <w:shd w:val="clear" w:color="auto" w:fill="auto"/>
            <w:vAlign w:val="center"/>
          </w:tcPr>
          <w:p>
            <w:pPr>
              <w:widowControl/>
              <w:spacing w:line="600" w:lineRule="exact"/>
              <w:rPr>
                <w:kern w:val="0"/>
                <w:szCs w:val="21"/>
              </w:rPr>
            </w:pPr>
            <w:r>
              <w:rPr>
                <w:kern w:val="0"/>
                <w:szCs w:val="21"/>
              </w:rPr>
              <w:t>新产品销售利润</w:t>
            </w:r>
          </w:p>
        </w:tc>
        <w:tc>
          <w:tcPr>
            <w:tcW w:w="850" w:type="dxa"/>
            <w:shd w:val="clear" w:color="auto" w:fill="auto"/>
            <w:vAlign w:val="center"/>
          </w:tcPr>
          <w:p>
            <w:pPr>
              <w:widowControl/>
              <w:spacing w:line="600" w:lineRule="exact"/>
              <w:jc w:val="center"/>
              <w:rPr>
                <w:kern w:val="0"/>
                <w:szCs w:val="21"/>
              </w:rPr>
            </w:pPr>
            <w:r>
              <w:rPr>
                <w:kern w:val="0"/>
                <w:szCs w:val="21"/>
              </w:rPr>
              <w:t>万元</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17</w:t>
            </w:r>
          </w:p>
        </w:tc>
        <w:tc>
          <w:tcPr>
            <w:tcW w:w="5103" w:type="dxa"/>
            <w:gridSpan w:val="3"/>
            <w:shd w:val="clear" w:color="auto" w:fill="auto"/>
            <w:vAlign w:val="center"/>
          </w:tcPr>
          <w:p>
            <w:pPr>
              <w:widowControl/>
              <w:spacing w:line="600" w:lineRule="exact"/>
              <w:rPr>
                <w:kern w:val="0"/>
                <w:szCs w:val="21"/>
              </w:rPr>
            </w:pPr>
            <w:r>
              <w:rPr>
                <w:kern w:val="0"/>
                <w:szCs w:val="21"/>
              </w:rPr>
              <w:t>利润总额</w:t>
            </w:r>
          </w:p>
        </w:tc>
        <w:tc>
          <w:tcPr>
            <w:tcW w:w="850" w:type="dxa"/>
            <w:shd w:val="clear" w:color="auto" w:fill="auto"/>
            <w:vAlign w:val="center"/>
          </w:tcPr>
          <w:p>
            <w:pPr>
              <w:widowControl/>
              <w:spacing w:line="600" w:lineRule="exact"/>
              <w:jc w:val="center"/>
              <w:rPr>
                <w:kern w:val="0"/>
                <w:szCs w:val="21"/>
              </w:rPr>
            </w:pPr>
            <w:r>
              <w:rPr>
                <w:kern w:val="0"/>
                <w:szCs w:val="21"/>
              </w:rPr>
              <w:t>万元</w:t>
            </w:r>
          </w:p>
        </w:tc>
        <w:tc>
          <w:tcPr>
            <w:tcW w:w="2127" w:type="dxa"/>
            <w:shd w:val="clear" w:color="auto" w:fill="auto"/>
            <w:vAlign w:val="center"/>
          </w:tcPr>
          <w:p>
            <w:pPr>
              <w:widowControl/>
              <w:spacing w:line="600" w:lineRule="exact"/>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pPr>
              <w:widowControl/>
              <w:spacing w:line="600" w:lineRule="exact"/>
              <w:jc w:val="center"/>
              <w:rPr>
                <w:kern w:val="0"/>
                <w:szCs w:val="21"/>
              </w:rPr>
            </w:pPr>
            <w:r>
              <w:rPr>
                <w:kern w:val="0"/>
                <w:szCs w:val="21"/>
              </w:rPr>
              <w:t>18</w:t>
            </w:r>
          </w:p>
        </w:tc>
        <w:tc>
          <w:tcPr>
            <w:tcW w:w="5103" w:type="dxa"/>
            <w:gridSpan w:val="3"/>
            <w:shd w:val="clear" w:color="auto" w:fill="auto"/>
            <w:vAlign w:val="center"/>
          </w:tcPr>
          <w:p>
            <w:pPr>
              <w:widowControl/>
              <w:spacing w:line="600" w:lineRule="exact"/>
              <w:rPr>
                <w:kern w:val="0"/>
                <w:szCs w:val="21"/>
              </w:rPr>
            </w:pPr>
            <w:r>
              <w:rPr>
                <w:kern w:val="0"/>
                <w:szCs w:val="21"/>
              </w:rPr>
              <w:t>获省及以上自然科学、技术发明、科技进步奖项目数</w:t>
            </w:r>
          </w:p>
        </w:tc>
        <w:tc>
          <w:tcPr>
            <w:tcW w:w="850" w:type="dxa"/>
            <w:shd w:val="clear" w:color="auto" w:fill="auto"/>
            <w:vAlign w:val="center"/>
          </w:tcPr>
          <w:p>
            <w:pPr>
              <w:widowControl/>
              <w:spacing w:line="600" w:lineRule="exact"/>
              <w:jc w:val="center"/>
              <w:rPr>
                <w:kern w:val="0"/>
                <w:szCs w:val="21"/>
              </w:rPr>
            </w:pPr>
            <w:r>
              <w:rPr>
                <w:kern w:val="0"/>
                <w:szCs w:val="21"/>
              </w:rPr>
              <w:t>项</w:t>
            </w:r>
          </w:p>
        </w:tc>
        <w:tc>
          <w:tcPr>
            <w:tcW w:w="2127" w:type="dxa"/>
            <w:shd w:val="clear" w:color="auto" w:fill="auto"/>
            <w:vAlign w:val="center"/>
          </w:tcPr>
          <w:p>
            <w:pPr>
              <w:widowControl/>
              <w:spacing w:line="600" w:lineRule="exact"/>
              <w:jc w:val="center"/>
              <w:rPr>
                <w:kern w:val="0"/>
                <w:szCs w:val="21"/>
              </w:rPr>
            </w:pPr>
            <w:r>
              <w:rPr>
                <w:kern w:val="0"/>
                <w:szCs w:val="21"/>
              </w:rPr>
              <w:t>　</w:t>
            </w:r>
          </w:p>
        </w:tc>
      </w:tr>
    </w:tbl>
    <w:p>
      <w:pPr>
        <w:spacing w:line="600" w:lineRule="exact"/>
        <w:ind w:firstLine="672" w:firstLineChars="221"/>
        <w:rPr>
          <w:kern w:val="0"/>
          <w:szCs w:val="32"/>
        </w:rPr>
      </w:pPr>
      <w:r>
        <w:rPr>
          <w:kern w:val="0"/>
          <w:szCs w:val="32"/>
        </w:rPr>
        <w:t>填写说明：</w:t>
      </w:r>
    </w:p>
    <w:p>
      <w:pPr>
        <w:spacing w:line="600" w:lineRule="exact"/>
        <w:ind w:firstLine="672" w:firstLineChars="221"/>
        <w:rPr>
          <w:kern w:val="0"/>
          <w:szCs w:val="32"/>
        </w:rPr>
      </w:pPr>
      <w:r>
        <w:rPr>
          <w:kern w:val="0"/>
          <w:szCs w:val="32"/>
        </w:rPr>
        <w:t>1.企业名称：参评企业需在此表上加盖公章，填写企业名称需与企业公章一致。</w:t>
      </w:r>
    </w:p>
    <w:p>
      <w:pPr>
        <w:spacing w:line="600" w:lineRule="exact"/>
        <w:ind w:firstLine="672" w:firstLineChars="221"/>
        <w:rPr>
          <w:kern w:val="0"/>
          <w:szCs w:val="32"/>
        </w:rPr>
      </w:pPr>
      <w:r>
        <w:rPr>
          <w:kern w:val="0"/>
          <w:szCs w:val="32"/>
        </w:rPr>
        <w:t>2.统计行业代码：对照《国民经济行业分类与代码（GB/T4754-2011）》，填写企业主营业务对应的统计“大类”（二位码）编号，如主营业务为“农副食品加工业”的企业，填写“13”。</w:t>
      </w:r>
    </w:p>
    <w:p>
      <w:pPr>
        <w:spacing w:line="600" w:lineRule="exact"/>
        <w:ind w:firstLine="538" w:firstLineChars="177"/>
        <w:rPr>
          <w:kern w:val="0"/>
          <w:szCs w:val="32"/>
        </w:rPr>
      </w:pPr>
      <w:r>
        <w:rPr>
          <w:kern w:val="0"/>
          <w:szCs w:val="32"/>
        </w:rPr>
        <w:t>3.报告年度：指表中指标统计年度，时间范围从填写评价表的上一年1月1日至12月31日；所有指标的填报时间范围，如无特殊说明，均为报告年度。</w:t>
      </w:r>
    </w:p>
    <w:p>
      <w:pPr>
        <w:spacing w:line="600" w:lineRule="exact"/>
        <w:ind w:firstLine="538" w:firstLineChars="177"/>
        <w:jc w:val="left"/>
        <w:rPr>
          <w:rFonts w:eastAsia="黑体"/>
          <w:kern w:val="0"/>
          <w:szCs w:val="32"/>
        </w:rPr>
      </w:pPr>
      <w:r>
        <w:rPr>
          <w:rFonts w:hAnsi="黑体" w:eastAsia="黑体"/>
          <w:kern w:val="0"/>
          <w:szCs w:val="32"/>
        </w:rPr>
        <w:t>二、需提供的附件及证明材料</w:t>
      </w:r>
    </w:p>
    <w:p>
      <w:pPr>
        <w:spacing w:line="600" w:lineRule="exact"/>
        <w:ind w:firstLine="538" w:firstLineChars="177"/>
        <w:rPr>
          <w:kern w:val="0"/>
          <w:szCs w:val="32"/>
        </w:rPr>
      </w:pPr>
      <w:r>
        <w:rPr>
          <w:kern w:val="0"/>
          <w:szCs w:val="32"/>
        </w:rPr>
        <w:t>1.企业对报送资料的真实性、完整性承诺。</w:t>
      </w:r>
    </w:p>
    <w:p>
      <w:pPr>
        <w:spacing w:line="600" w:lineRule="exact"/>
        <w:ind w:firstLine="538" w:firstLineChars="177"/>
        <w:rPr>
          <w:kern w:val="0"/>
          <w:szCs w:val="32"/>
        </w:rPr>
      </w:pPr>
      <w:r>
        <w:rPr>
          <w:kern w:val="0"/>
          <w:szCs w:val="32"/>
        </w:rPr>
        <w:t>2.相关统计和财务报表。相关统计报表主要包括：规模以上工业法人单位研发项目情况（107-1 表，国统字〔2015〕95号）、规模以上工业法人单位研发活动及相关情况（107-2 表，国统字〔2015〕95号）。未列入国家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107-1 表、107-2 表、资产负债表、损益表、现金流量表等进行合并填报。</w:t>
      </w:r>
    </w:p>
    <w:p>
      <w:pPr>
        <w:spacing w:line="600" w:lineRule="exact"/>
        <w:ind w:firstLine="538" w:firstLineChars="177"/>
        <w:rPr>
          <w:kern w:val="0"/>
          <w:szCs w:val="32"/>
        </w:rPr>
      </w:pPr>
      <w:r>
        <w:rPr>
          <w:kern w:val="0"/>
          <w:szCs w:val="32"/>
        </w:rPr>
        <w:t>3.评价指标的必要证明材料。主要包括：技术中心高级专家、博士和外部专家、专利信息、主持和参加制定的标准、国家级和省级研发平台、实验室和检测机构、新产品鉴定、科技奖励等方面的内容。</w:t>
      </w:r>
    </w:p>
    <w:p>
      <w:pPr>
        <w:spacing w:line="600" w:lineRule="exact"/>
        <w:ind w:firstLine="538" w:firstLineChars="177"/>
        <w:jc w:val="left"/>
        <w:rPr>
          <w:rFonts w:eastAsia="黑体"/>
          <w:kern w:val="0"/>
          <w:szCs w:val="32"/>
        </w:rPr>
      </w:pPr>
      <w:r>
        <w:rPr>
          <w:rFonts w:hAnsi="黑体" w:eastAsia="黑体"/>
          <w:kern w:val="0"/>
          <w:szCs w:val="32"/>
        </w:rPr>
        <w:t>三、指标解释和填报说明</w:t>
      </w:r>
    </w:p>
    <w:p>
      <w:pPr>
        <w:spacing w:line="600" w:lineRule="exact"/>
        <w:ind w:firstLine="608" w:firstLineChars="200"/>
        <w:rPr>
          <w:kern w:val="0"/>
          <w:szCs w:val="32"/>
        </w:rPr>
      </w:pPr>
      <w:r>
        <w:rPr>
          <w:kern w:val="0"/>
          <w:szCs w:val="32"/>
        </w:rPr>
        <w:t>1.主营业务收入：指报告年度内企业确认的销售商品、提供劳务等主营业务的收入。根据会计“主营业务收入”科目的期末贷方余额填报。若会计报告和会计报表中未设置该科目，以“营业收入”代替填报。</w:t>
      </w:r>
    </w:p>
    <w:p>
      <w:pPr>
        <w:spacing w:line="600" w:lineRule="exact"/>
        <w:ind w:firstLine="608" w:firstLineChars="200"/>
        <w:rPr>
          <w:kern w:val="0"/>
          <w:szCs w:val="32"/>
        </w:rPr>
      </w:pPr>
      <w:r>
        <w:rPr>
          <w:kern w:val="0"/>
          <w:szCs w:val="32"/>
        </w:rPr>
        <w:t>2.研究与试验发展（简称“研发”）经费支出：指报告年度内企业研发活动的经费支出合计，包括企业内部的日常研发经费支出，当年形成用于研发的固定资产支出和委托外单位开展研发的经费支出。</w:t>
      </w:r>
    </w:p>
    <w:p>
      <w:pPr>
        <w:spacing w:line="600" w:lineRule="exact"/>
        <w:ind w:firstLine="608" w:firstLineChars="200"/>
        <w:rPr>
          <w:kern w:val="0"/>
          <w:szCs w:val="32"/>
        </w:rPr>
      </w:pPr>
      <w:r>
        <w:rPr>
          <w:kern w:val="0"/>
          <w:szCs w:val="32"/>
        </w:rPr>
        <w:t>3.研究与试验发展人员数：指报告年度内企业内部直接参加研发项目人员，不包括全年累计从事研发活动时间占制度工作时间10%以下的人员。</w:t>
      </w:r>
    </w:p>
    <w:p>
      <w:pPr>
        <w:spacing w:line="600" w:lineRule="exact"/>
        <w:ind w:firstLine="608" w:firstLineChars="200"/>
        <w:rPr>
          <w:kern w:val="0"/>
          <w:szCs w:val="32"/>
        </w:rPr>
      </w:pPr>
      <w:r>
        <w:rPr>
          <w:kern w:val="0"/>
          <w:szCs w:val="32"/>
        </w:rPr>
        <w:t>4.企业职工总数：指企业在报告年度内平均拥有的从业人员数，按照统计指标“从业人员平均人数”计算。</w:t>
      </w:r>
    </w:p>
    <w:p>
      <w:pPr>
        <w:spacing w:line="600" w:lineRule="exact"/>
        <w:ind w:firstLine="608" w:firstLineChars="200"/>
        <w:rPr>
          <w:b/>
          <w:i/>
          <w:kern w:val="0"/>
          <w:szCs w:val="32"/>
        </w:rPr>
      </w:pPr>
      <w:r>
        <w:rPr>
          <w:kern w:val="0"/>
          <w:szCs w:val="32"/>
        </w:rPr>
        <w:t>5.技术中心高级专家人数：指全职在技术中心工作、</w:t>
      </w:r>
      <w:r>
        <w:rPr>
          <w:szCs w:val="32"/>
        </w:rPr>
        <w:t>获得国家、省、部和计划单列市等政府部门认定的有突出贡献的专家或者享受国家、省、部和计划单列市专项津贴的专家数。</w:t>
      </w:r>
    </w:p>
    <w:p>
      <w:pPr>
        <w:spacing w:line="600" w:lineRule="exact"/>
        <w:ind w:firstLine="608" w:firstLineChars="200"/>
        <w:rPr>
          <w:kern w:val="0"/>
          <w:szCs w:val="32"/>
        </w:rPr>
      </w:pPr>
      <w:r>
        <w:rPr>
          <w:kern w:val="0"/>
          <w:szCs w:val="32"/>
        </w:rPr>
        <w:t>6.技术中心博士人数：指全职在技术中心工作、获得博士学位的人员数。在站博士后可以作为博士进行统计。</w:t>
      </w:r>
    </w:p>
    <w:p>
      <w:pPr>
        <w:spacing w:line="600" w:lineRule="exact"/>
        <w:ind w:firstLine="608" w:firstLineChars="200"/>
        <w:rPr>
          <w:kern w:val="0"/>
          <w:szCs w:val="32"/>
        </w:rPr>
      </w:pPr>
      <w:r>
        <w:rPr>
          <w:kern w:val="0"/>
          <w:szCs w:val="32"/>
        </w:rPr>
        <w:t>7.来技术中心从事研发工作的外部专家人数：指来技术中心从事研究、技术开发工作的具有较高科技开发能力的海内外专家累计人月。最小统计单位为：0.5人月。</w:t>
      </w:r>
    </w:p>
    <w:p>
      <w:pPr>
        <w:spacing w:line="600" w:lineRule="exact"/>
        <w:ind w:firstLine="608" w:firstLineChars="200"/>
        <w:rPr>
          <w:kern w:val="0"/>
          <w:szCs w:val="32"/>
        </w:rPr>
      </w:pPr>
      <w:r>
        <w:rPr>
          <w:kern w:val="0"/>
          <w:szCs w:val="32"/>
        </w:rPr>
        <w:t>8.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spacing w:line="600" w:lineRule="exact"/>
        <w:ind w:firstLine="608" w:firstLineChars="200"/>
        <w:rPr>
          <w:szCs w:val="32"/>
        </w:rPr>
      </w:pPr>
      <w:r>
        <w:rPr>
          <w:kern w:val="0"/>
          <w:szCs w:val="32"/>
        </w:rPr>
        <w:t>9.</w:t>
      </w:r>
      <w:r>
        <w:rPr>
          <w:szCs w:val="32"/>
        </w:rPr>
        <w:t>基础研究和应用研究项目数：指企业全部研发项目中主要以科学原理的探索与发现、技术原理的研究为目标的项目数。</w:t>
      </w:r>
    </w:p>
    <w:p>
      <w:pPr>
        <w:spacing w:line="600" w:lineRule="exact"/>
        <w:ind w:firstLine="608" w:firstLineChars="200"/>
        <w:rPr>
          <w:kern w:val="0"/>
          <w:szCs w:val="32"/>
        </w:rPr>
      </w:pPr>
      <w:r>
        <w:rPr>
          <w:kern w:val="0"/>
          <w:szCs w:val="32"/>
        </w:rPr>
        <w:t>10.</w:t>
      </w:r>
      <w:r>
        <w:rPr>
          <w:szCs w:val="32"/>
        </w:rPr>
        <w:t>省级及以上研发平台数：指</w:t>
      </w:r>
      <w:r>
        <w:rPr>
          <w:kern w:val="0"/>
          <w:szCs w:val="32"/>
        </w:rPr>
        <w:t>企业作为项目法人承担建设、省级以上有关部门归口管理且已获得批复的科技类、研究开发类平台数。</w:t>
      </w:r>
    </w:p>
    <w:p>
      <w:pPr>
        <w:spacing w:line="600" w:lineRule="exact"/>
        <w:ind w:firstLine="608" w:firstLineChars="200"/>
        <w:rPr>
          <w:kern w:val="0"/>
          <w:szCs w:val="32"/>
        </w:rPr>
      </w:pPr>
      <w:r>
        <w:rPr>
          <w:kern w:val="0"/>
          <w:szCs w:val="32"/>
        </w:rPr>
        <w:t>11.通过省级及以上（国际组织）认证的实验室和检测机构数：指通过省级及以上部门和国际组织认证认可的、仍在有效期内的实验室、检验检测机构数。</w:t>
      </w:r>
    </w:p>
    <w:p>
      <w:pPr>
        <w:spacing w:line="600" w:lineRule="exact"/>
        <w:ind w:firstLine="608" w:firstLineChars="200"/>
        <w:rPr>
          <w:kern w:val="0"/>
          <w:szCs w:val="32"/>
        </w:rPr>
      </w:pPr>
      <w:r>
        <w:rPr>
          <w:kern w:val="0"/>
          <w:szCs w:val="32"/>
        </w:rPr>
        <w:t>12.企业技术开发仪器设备原值：指报告年度末企业用于研发的固定资产中的仪器和设备原价。其中，设备包括用于研发活动的各类机器和设备、试验测量仪器、运输工具、工装工具等。</w:t>
      </w:r>
    </w:p>
    <w:p>
      <w:pPr>
        <w:spacing w:line="600" w:lineRule="exact"/>
        <w:ind w:firstLine="608" w:firstLineChars="200"/>
        <w:rPr>
          <w:kern w:val="0"/>
          <w:szCs w:val="32"/>
        </w:rPr>
      </w:pPr>
      <w:r>
        <w:rPr>
          <w:kern w:val="0"/>
          <w:szCs w:val="32"/>
        </w:rPr>
        <w:t>13.企业拥有的全部有效发明专利数：指报告年度末企业作为专利权人拥有的、经国内外知识产权行政部门授予且在有效期内的发明专利件数。</w:t>
      </w:r>
    </w:p>
    <w:p>
      <w:pPr>
        <w:spacing w:line="600" w:lineRule="exact"/>
        <w:ind w:firstLine="608" w:firstLineChars="200"/>
        <w:rPr>
          <w:kern w:val="0"/>
          <w:szCs w:val="32"/>
        </w:rPr>
      </w:pPr>
      <w:r>
        <w:rPr>
          <w:kern w:val="0"/>
          <w:szCs w:val="32"/>
        </w:rPr>
        <w:t>14.当年被受理的专利申请数：指报告年度内企业向专利行政部门提出专利申请并被受理的专利件数。</w:t>
      </w:r>
    </w:p>
    <w:p>
      <w:pPr>
        <w:spacing w:line="600" w:lineRule="exact"/>
        <w:ind w:firstLine="608" w:firstLineChars="200"/>
        <w:rPr>
          <w:kern w:val="0"/>
          <w:szCs w:val="32"/>
        </w:rPr>
      </w:pPr>
      <w:r>
        <w:rPr>
          <w:kern w:val="0"/>
          <w:szCs w:val="32"/>
        </w:rPr>
        <w:t>15.当年被受理的发明专利申请数：指报告年度内企业向专利行政部门提出发明专利申请并被受理的专利件数。</w:t>
      </w:r>
    </w:p>
    <w:p>
      <w:pPr>
        <w:spacing w:line="600" w:lineRule="exact"/>
        <w:ind w:firstLine="608" w:firstLineChars="200"/>
        <w:rPr>
          <w:kern w:val="0"/>
          <w:szCs w:val="32"/>
        </w:rPr>
      </w:pPr>
      <w:r>
        <w:rPr>
          <w:kern w:val="0"/>
          <w:szCs w:val="32"/>
        </w:rPr>
        <w:t>16.最近三年主持和参加制定的国际、国家和行业标准数：指企业在报告年度、报告年度前一年、报告年度前二年主持或参加制定，目前仍有效执行的国际、国家、行业标准的数量。</w:t>
      </w:r>
    </w:p>
    <w:p>
      <w:pPr>
        <w:spacing w:line="600" w:lineRule="exact"/>
        <w:ind w:firstLine="608" w:firstLineChars="200"/>
        <w:rPr>
          <w:kern w:val="0"/>
          <w:szCs w:val="32"/>
        </w:rPr>
      </w:pPr>
      <w:r>
        <w:rPr>
          <w:kern w:val="0"/>
          <w:szCs w:val="32"/>
        </w:rPr>
        <w:t>17.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spacing w:line="600" w:lineRule="exact"/>
        <w:ind w:firstLine="608" w:firstLineChars="200"/>
        <w:rPr>
          <w:kern w:val="0"/>
          <w:szCs w:val="32"/>
        </w:rPr>
      </w:pPr>
      <w:r>
        <w:rPr>
          <w:kern w:val="0"/>
          <w:szCs w:val="32"/>
        </w:rPr>
        <w:t>18.新产品销售利润：指报告年度内企业通过销售新产品实现的销售（营业）利润。</w:t>
      </w:r>
    </w:p>
    <w:p>
      <w:pPr>
        <w:spacing w:line="600" w:lineRule="exact"/>
        <w:ind w:firstLine="608" w:firstLineChars="200"/>
        <w:rPr>
          <w:kern w:val="0"/>
          <w:szCs w:val="32"/>
        </w:rPr>
      </w:pPr>
      <w:r>
        <w:rPr>
          <w:kern w:val="0"/>
          <w:szCs w:val="32"/>
        </w:rPr>
        <w:t>19.利润总额：指报告年度企业生产经营过程中各种收入扣除各种耗费后的盈余，反映企业在报告期内实现的盈亏总额。</w:t>
      </w:r>
    </w:p>
    <w:p>
      <w:pPr>
        <w:spacing w:line="600" w:lineRule="exact"/>
        <w:ind w:firstLine="608" w:firstLineChars="200"/>
        <w:rPr>
          <w:kern w:val="0"/>
          <w:szCs w:val="32"/>
        </w:rPr>
      </w:pPr>
      <w:r>
        <w:rPr>
          <w:kern w:val="0"/>
          <w:szCs w:val="32"/>
        </w:rPr>
        <w:t>20.获省级及以上自然科学、技术发明、科技进步奖项目数：指企业在报告年度、报告年度前一年度获得的由省政府及以上政府部门设立并颁发的“自然科学奖”、“技术发明奖”和“科学技术进步奖”的项目总数，同一项目只统计最高奖项。</w:t>
      </w:r>
    </w:p>
    <w:p>
      <w:pPr>
        <w:spacing w:line="600" w:lineRule="exact"/>
        <w:rPr>
          <w:rFonts w:eastAsia="黑体"/>
          <w:kern w:val="0"/>
          <w:sz w:val="30"/>
          <w:szCs w:val="30"/>
        </w:rPr>
      </w:pPr>
    </w:p>
    <w:p>
      <w:pPr>
        <w:spacing w:line="600" w:lineRule="exact"/>
        <w:rPr>
          <w:rFonts w:eastAsia="黑体"/>
          <w:kern w:val="0"/>
          <w:sz w:val="30"/>
          <w:szCs w:val="30"/>
        </w:rPr>
      </w:pPr>
    </w:p>
    <w:p>
      <w:pPr>
        <w:spacing w:line="600" w:lineRule="exact"/>
        <w:rPr>
          <w:rFonts w:eastAsia="黑体"/>
          <w:kern w:val="0"/>
          <w:sz w:val="30"/>
          <w:szCs w:val="30"/>
        </w:rPr>
      </w:pPr>
    </w:p>
    <w:p>
      <w:pPr>
        <w:spacing w:line="600" w:lineRule="exact"/>
        <w:rPr>
          <w:rFonts w:eastAsia="黑体"/>
          <w:kern w:val="0"/>
          <w:szCs w:val="32"/>
        </w:rPr>
      </w:pPr>
      <w:r>
        <w:rPr>
          <w:rFonts w:eastAsia="黑体"/>
          <w:kern w:val="0"/>
          <w:szCs w:val="32"/>
        </w:rPr>
        <w:t>附件3</w:t>
      </w:r>
    </w:p>
    <w:p>
      <w:pPr>
        <w:spacing w:line="600" w:lineRule="exact"/>
        <w:jc w:val="center"/>
        <w:rPr>
          <w:rFonts w:eastAsia="方正小标宋简体"/>
          <w:kern w:val="0"/>
          <w:sz w:val="44"/>
          <w:szCs w:val="44"/>
        </w:rPr>
      </w:pPr>
      <w:r>
        <w:rPr>
          <w:rFonts w:eastAsia="方正小标宋简体"/>
          <w:kern w:val="0"/>
          <w:sz w:val="44"/>
          <w:szCs w:val="44"/>
        </w:rPr>
        <w:t>《四川省企业技术中心工作总结》提纲</w:t>
      </w:r>
    </w:p>
    <w:p>
      <w:pPr>
        <w:spacing w:line="600" w:lineRule="exact"/>
        <w:ind w:firstLine="848" w:firstLineChars="200"/>
        <w:rPr>
          <w:rFonts w:eastAsia="黑体"/>
          <w:kern w:val="0"/>
          <w:sz w:val="44"/>
          <w:szCs w:val="44"/>
        </w:rPr>
      </w:pPr>
    </w:p>
    <w:p>
      <w:pPr>
        <w:spacing w:line="600" w:lineRule="exact"/>
        <w:ind w:firstLine="672" w:firstLineChars="221"/>
        <w:rPr>
          <w:kern w:val="0"/>
          <w:szCs w:val="32"/>
        </w:rPr>
      </w:pPr>
      <w:r>
        <w:rPr>
          <w:kern w:val="0"/>
          <w:szCs w:val="32"/>
        </w:rPr>
        <w:t>已认定的省企业技术中心需在评价年度提交工作总结，以全面总结报告年度企业技术创新与技术中心工作情况。主要包括如下内容：</w:t>
      </w:r>
    </w:p>
    <w:p>
      <w:pPr>
        <w:spacing w:line="600" w:lineRule="exact"/>
        <w:ind w:firstLine="672" w:firstLineChars="221"/>
        <w:rPr>
          <w:kern w:val="0"/>
          <w:szCs w:val="32"/>
        </w:rPr>
      </w:pPr>
      <w:r>
        <w:rPr>
          <w:kern w:val="0"/>
          <w:szCs w:val="32"/>
        </w:rPr>
        <w:t>1.简要分析企业所在行业创新趋势和特点，以及企业在该行业中的地位和竞争优势。</w:t>
      </w:r>
    </w:p>
    <w:p>
      <w:pPr>
        <w:spacing w:line="600" w:lineRule="exact"/>
        <w:ind w:firstLine="672" w:firstLineChars="221"/>
        <w:rPr>
          <w:kern w:val="0"/>
          <w:szCs w:val="32"/>
        </w:rPr>
      </w:pPr>
      <w:r>
        <w:rPr>
          <w:kern w:val="0"/>
          <w:szCs w:val="32"/>
        </w:rPr>
        <w:t>2.技术中心组织建设、技术中心创新机制建设、产学研合作创新机制建设、国际、国内协同创新网络平台建设、企业技术创新基础设施建设等。</w:t>
      </w:r>
    </w:p>
    <w:p>
      <w:pPr>
        <w:spacing w:line="600" w:lineRule="exact"/>
        <w:ind w:firstLine="672" w:firstLineChars="221"/>
        <w:rPr>
          <w:kern w:val="0"/>
          <w:szCs w:val="32"/>
        </w:rPr>
      </w:pPr>
      <w:r>
        <w:rPr>
          <w:kern w:val="0"/>
          <w:szCs w:val="32"/>
        </w:rPr>
        <w:t>3.企业技术创新活动开展情况，包括重点创新项目的组织实施、关键核心技术和产品开发等。</w:t>
      </w:r>
    </w:p>
    <w:p>
      <w:pPr>
        <w:spacing w:line="600" w:lineRule="exact"/>
        <w:ind w:firstLine="672" w:firstLineChars="221"/>
        <w:rPr>
          <w:kern w:val="0"/>
          <w:szCs w:val="32"/>
        </w:rPr>
      </w:pPr>
      <w:r>
        <w:rPr>
          <w:kern w:val="0"/>
          <w:szCs w:val="32"/>
        </w:rPr>
        <w:t>4.企业技术中心取得的主要创新成果，形成的核心技术及自主知识产权情况，重点介绍相关技术成果对企业核心产品研发、核心竞争力提升的支撑作用，以及取得的经济社会效益。</w:t>
      </w:r>
    </w:p>
    <w:p>
      <w:pPr>
        <w:spacing w:line="600" w:lineRule="exact"/>
        <w:ind w:firstLine="672" w:firstLineChars="221"/>
        <w:rPr>
          <w:kern w:val="0"/>
          <w:szCs w:val="32"/>
        </w:rPr>
      </w:pPr>
      <w:r>
        <w:rPr>
          <w:kern w:val="0"/>
          <w:szCs w:val="32"/>
        </w:rPr>
        <w:t>5.其他有特色的工作情况。</w:t>
      </w:r>
    </w:p>
    <w:p>
      <w:pPr>
        <w:spacing w:line="600" w:lineRule="exact"/>
        <w:rPr>
          <w:kern w:val="0"/>
          <w:szCs w:val="32"/>
        </w:rPr>
      </w:pPr>
    </w:p>
    <w:p>
      <w:pPr>
        <w:spacing w:line="600" w:lineRule="exact"/>
      </w:pPr>
    </w:p>
    <w:p>
      <w:pPr>
        <w:spacing w:line="600" w:lineRule="exact"/>
      </w:pPr>
    </w:p>
    <w:p>
      <w:pPr>
        <w:spacing w:line="600" w:lineRule="exact"/>
      </w:pPr>
    </w:p>
    <w:p>
      <w:pPr>
        <w:spacing w:line="600" w:lineRule="exact"/>
      </w:pPr>
    </w:p>
    <w:p>
      <w:pPr>
        <w:spacing w:line="600" w:lineRule="exact"/>
        <w:rPr>
          <w:rFonts w:eastAsia="黑体"/>
          <w:kern w:val="0"/>
          <w:szCs w:val="32"/>
        </w:rPr>
      </w:pPr>
      <w:r>
        <w:rPr>
          <w:rFonts w:eastAsia="黑体"/>
          <w:kern w:val="0"/>
          <w:szCs w:val="32"/>
        </w:rPr>
        <w:t>附件4</w:t>
      </w:r>
    </w:p>
    <w:p>
      <w:pPr>
        <w:spacing w:line="600" w:lineRule="exact"/>
        <w:jc w:val="center"/>
        <w:rPr>
          <w:rFonts w:eastAsia="方正小标宋简体"/>
          <w:kern w:val="0"/>
          <w:sz w:val="44"/>
          <w:szCs w:val="44"/>
        </w:rPr>
      </w:pPr>
      <w:r>
        <w:rPr>
          <w:rFonts w:eastAsia="方正小标宋简体"/>
          <w:kern w:val="0"/>
          <w:sz w:val="44"/>
          <w:szCs w:val="44"/>
        </w:rPr>
        <w:t>四川省企业技术中心评价指标体系</w:t>
      </w:r>
    </w:p>
    <w:p>
      <w:pPr>
        <w:spacing w:line="600" w:lineRule="exact"/>
        <w:ind w:firstLine="335" w:firstLineChars="250"/>
        <w:rPr>
          <w:b/>
          <w:sz w:val="15"/>
          <w:szCs w:val="15"/>
        </w:rPr>
      </w:pPr>
    </w:p>
    <w:p>
      <w:pPr>
        <w:spacing w:line="600" w:lineRule="exact"/>
        <w:ind w:firstLine="538" w:firstLineChars="177"/>
        <w:jc w:val="left"/>
        <w:rPr>
          <w:rFonts w:eastAsia="黑体"/>
          <w:kern w:val="0"/>
          <w:szCs w:val="32"/>
        </w:rPr>
      </w:pPr>
      <w:r>
        <w:rPr>
          <w:rFonts w:hAnsi="黑体" w:eastAsia="黑体"/>
          <w:kern w:val="0"/>
          <w:szCs w:val="32"/>
        </w:rPr>
        <w:t>一、评价原则</w:t>
      </w:r>
    </w:p>
    <w:p>
      <w:pPr>
        <w:spacing w:line="600" w:lineRule="exact"/>
        <w:ind w:firstLine="596" w:firstLineChars="196"/>
        <w:rPr>
          <w:szCs w:val="32"/>
        </w:rPr>
      </w:pPr>
      <w:r>
        <w:rPr>
          <w:szCs w:val="32"/>
        </w:rPr>
        <w:t>1.全面客观反映企业技术中心建设发展状况，突出企业在技术创新方面的投入力度、产出效果和技术中心运行机制的有效性。</w:t>
      </w:r>
    </w:p>
    <w:p>
      <w:pPr>
        <w:spacing w:line="600" w:lineRule="exact"/>
        <w:ind w:firstLine="596" w:firstLineChars="196"/>
        <w:rPr>
          <w:szCs w:val="32"/>
        </w:rPr>
      </w:pPr>
      <w:r>
        <w:rPr>
          <w:szCs w:val="32"/>
        </w:rPr>
        <w:t>2.新申报和已认定的企业技术中心实施统一评价。</w:t>
      </w:r>
    </w:p>
    <w:p>
      <w:pPr>
        <w:spacing w:line="600" w:lineRule="exact"/>
        <w:ind w:firstLine="608" w:firstLineChars="200"/>
        <w:rPr>
          <w:szCs w:val="32"/>
        </w:rPr>
      </w:pPr>
      <w:r>
        <w:rPr>
          <w:szCs w:val="32"/>
        </w:rPr>
        <w:t>3.按“行业系数修正，整体对比计量”原则计分。</w:t>
      </w:r>
    </w:p>
    <w:p>
      <w:pPr>
        <w:spacing w:line="600" w:lineRule="exact"/>
        <w:ind w:firstLine="538" w:firstLineChars="177"/>
        <w:jc w:val="left"/>
        <w:rPr>
          <w:rFonts w:eastAsia="黑体"/>
          <w:kern w:val="0"/>
          <w:szCs w:val="32"/>
        </w:rPr>
      </w:pPr>
      <w:r>
        <w:rPr>
          <w:rFonts w:hAnsi="黑体" w:eastAsia="黑体"/>
          <w:kern w:val="0"/>
          <w:szCs w:val="32"/>
        </w:rPr>
        <w:t>二、评价指标体系</w:t>
      </w:r>
    </w:p>
    <w:tbl>
      <w:tblPr>
        <w:tblStyle w:val="5"/>
        <w:tblW w:w="892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52"/>
        <w:gridCol w:w="684"/>
        <w:gridCol w:w="4062"/>
        <w:gridCol w:w="684"/>
        <w:gridCol w:w="684"/>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600" w:lineRule="exact"/>
              <w:jc w:val="center"/>
              <w:rPr>
                <w:b/>
              </w:rPr>
            </w:pPr>
            <w:r>
              <w:rPr>
                <w:b/>
              </w:rPr>
              <w:t>一级指标</w:t>
            </w:r>
          </w:p>
        </w:tc>
        <w:tc>
          <w:tcPr>
            <w:tcW w:w="1152" w:type="dxa"/>
            <w:vAlign w:val="center"/>
          </w:tcPr>
          <w:p>
            <w:pPr>
              <w:spacing w:line="600" w:lineRule="exact"/>
              <w:rPr>
                <w:b/>
              </w:rPr>
            </w:pPr>
            <w:r>
              <w:rPr>
                <w:b/>
              </w:rPr>
              <w:t>二级指标</w:t>
            </w:r>
          </w:p>
        </w:tc>
        <w:tc>
          <w:tcPr>
            <w:tcW w:w="684" w:type="dxa"/>
            <w:vAlign w:val="center"/>
          </w:tcPr>
          <w:p>
            <w:pPr>
              <w:spacing w:line="600" w:lineRule="exact"/>
              <w:rPr>
                <w:b/>
              </w:rPr>
            </w:pPr>
            <w:r>
              <w:rPr>
                <w:b/>
              </w:rPr>
              <w:t>权重</w:t>
            </w:r>
          </w:p>
        </w:tc>
        <w:tc>
          <w:tcPr>
            <w:tcW w:w="4062" w:type="dxa"/>
            <w:vAlign w:val="center"/>
          </w:tcPr>
          <w:p>
            <w:pPr>
              <w:spacing w:line="600" w:lineRule="exact"/>
              <w:jc w:val="center"/>
              <w:rPr>
                <w:b/>
              </w:rPr>
            </w:pPr>
            <w:r>
              <w:rPr>
                <w:b/>
              </w:rPr>
              <w:t>三级指标</w:t>
            </w:r>
          </w:p>
        </w:tc>
        <w:tc>
          <w:tcPr>
            <w:tcW w:w="684" w:type="dxa"/>
            <w:vAlign w:val="center"/>
          </w:tcPr>
          <w:p>
            <w:pPr>
              <w:spacing w:line="600" w:lineRule="exact"/>
              <w:jc w:val="center"/>
              <w:rPr>
                <w:b/>
              </w:rPr>
            </w:pPr>
            <w:r>
              <w:rPr>
                <w:b/>
              </w:rPr>
              <w:t>单位</w:t>
            </w:r>
          </w:p>
        </w:tc>
        <w:tc>
          <w:tcPr>
            <w:tcW w:w="684" w:type="dxa"/>
            <w:vAlign w:val="center"/>
          </w:tcPr>
          <w:p>
            <w:pPr>
              <w:spacing w:line="600" w:lineRule="exact"/>
              <w:jc w:val="center"/>
              <w:rPr>
                <w:b/>
              </w:rPr>
            </w:pPr>
            <w:r>
              <w:rPr>
                <w:b/>
              </w:rPr>
              <w:t>权重</w:t>
            </w:r>
          </w:p>
        </w:tc>
        <w:tc>
          <w:tcPr>
            <w:tcW w:w="666" w:type="dxa"/>
            <w:vAlign w:val="center"/>
          </w:tcPr>
          <w:p>
            <w: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2" w:type="dxa"/>
            <w:vMerge w:val="restart"/>
            <w:vAlign w:val="center"/>
          </w:tcPr>
          <w:p>
            <w:pPr>
              <w:spacing w:line="600" w:lineRule="exact"/>
              <w:jc w:val="center"/>
            </w:pPr>
            <w:r>
              <w:t>创新投入</w:t>
            </w:r>
          </w:p>
        </w:tc>
        <w:tc>
          <w:tcPr>
            <w:tcW w:w="1152" w:type="dxa"/>
            <w:vMerge w:val="restart"/>
            <w:vAlign w:val="center"/>
          </w:tcPr>
          <w:p>
            <w:pPr>
              <w:spacing w:line="600" w:lineRule="exact"/>
            </w:pPr>
            <w:r>
              <w:t>创新经费</w:t>
            </w:r>
          </w:p>
        </w:tc>
        <w:tc>
          <w:tcPr>
            <w:tcW w:w="684" w:type="dxa"/>
            <w:vMerge w:val="restart"/>
            <w:vAlign w:val="center"/>
          </w:tcPr>
          <w:p>
            <w:pPr>
              <w:spacing w:line="600" w:lineRule="exact"/>
              <w:jc w:val="center"/>
            </w:pPr>
            <w:r>
              <w:t>20</w:t>
            </w:r>
          </w:p>
        </w:tc>
        <w:tc>
          <w:tcPr>
            <w:tcW w:w="4062" w:type="dxa"/>
            <w:vAlign w:val="center"/>
          </w:tcPr>
          <w:p>
            <w:pPr>
              <w:spacing w:line="600" w:lineRule="exact"/>
            </w:pPr>
            <w:r>
              <w:t>研发人员人均研发经费支出</w:t>
            </w:r>
          </w:p>
        </w:tc>
        <w:tc>
          <w:tcPr>
            <w:tcW w:w="684" w:type="dxa"/>
            <w:vAlign w:val="center"/>
          </w:tcPr>
          <w:p>
            <w:pPr>
              <w:spacing w:line="600" w:lineRule="exact"/>
              <w:jc w:val="center"/>
            </w:pPr>
            <w:r>
              <w:t>万元</w:t>
            </w:r>
          </w:p>
        </w:tc>
        <w:tc>
          <w:tcPr>
            <w:tcW w:w="684" w:type="dxa"/>
            <w:vAlign w:val="center"/>
          </w:tcPr>
          <w:p>
            <w:pPr>
              <w:spacing w:line="600" w:lineRule="exact"/>
              <w:jc w:val="center"/>
            </w:pPr>
            <w:r>
              <w:t>8</w:t>
            </w:r>
          </w:p>
        </w:tc>
        <w:tc>
          <w:tcPr>
            <w:tcW w:w="666" w:type="dxa"/>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pPr>
            <w:r>
              <w:t>研发经费支出占主营业务收入的比重%</w:t>
            </w:r>
          </w:p>
        </w:tc>
        <w:tc>
          <w:tcPr>
            <w:tcW w:w="684" w:type="dxa"/>
            <w:vAlign w:val="center"/>
          </w:tcPr>
          <w:p>
            <w:pPr>
              <w:spacing w:line="600" w:lineRule="exact"/>
              <w:jc w:val="center"/>
            </w:pPr>
            <w:r>
              <w:t>%</w:t>
            </w:r>
          </w:p>
        </w:tc>
        <w:tc>
          <w:tcPr>
            <w:tcW w:w="684" w:type="dxa"/>
            <w:vAlign w:val="center"/>
          </w:tcPr>
          <w:p>
            <w:pPr>
              <w:spacing w:line="600" w:lineRule="exact"/>
              <w:jc w:val="center"/>
            </w:pPr>
            <w:r>
              <w:t>12</w:t>
            </w:r>
          </w:p>
        </w:tc>
        <w:tc>
          <w:tcPr>
            <w:tcW w:w="666" w:type="dxa"/>
            <w:vAlign w:val="center"/>
          </w:tcPr>
          <w:p>
            <w:r>
              <w:t>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92" w:type="dxa"/>
            <w:vMerge w:val="continue"/>
            <w:vAlign w:val="center"/>
          </w:tcPr>
          <w:p>
            <w:pPr>
              <w:spacing w:line="600" w:lineRule="exact"/>
              <w:jc w:val="center"/>
            </w:pPr>
          </w:p>
        </w:tc>
        <w:tc>
          <w:tcPr>
            <w:tcW w:w="1152" w:type="dxa"/>
            <w:vMerge w:val="restart"/>
            <w:vAlign w:val="center"/>
          </w:tcPr>
          <w:p>
            <w:pPr>
              <w:spacing w:line="600" w:lineRule="exact"/>
              <w:jc w:val="center"/>
            </w:pPr>
            <w:r>
              <w:t>创新人才</w:t>
            </w:r>
          </w:p>
        </w:tc>
        <w:tc>
          <w:tcPr>
            <w:tcW w:w="684" w:type="dxa"/>
            <w:vMerge w:val="restart"/>
            <w:vAlign w:val="center"/>
          </w:tcPr>
          <w:p>
            <w:pPr>
              <w:spacing w:line="600" w:lineRule="exact"/>
              <w:jc w:val="center"/>
            </w:pPr>
            <w:r>
              <w:t>15</w:t>
            </w:r>
          </w:p>
        </w:tc>
        <w:tc>
          <w:tcPr>
            <w:tcW w:w="4062" w:type="dxa"/>
            <w:vAlign w:val="center"/>
          </w:tcPr>
          <w:p>
            <w:pPr>
              <w:spacing w:line="600" w:lineRule="exact"/>
            </w:pPr>
            <w:r>
              <w:t>研发人员占企业职工总数的比重</w:t>
            </w:r>
          </w:p>
        </w:tc>
        <w:tc>
          <w:tcPr>
            <w:tcW w:w="684" w:type="dxa"/>
            <w:vAlign w:val="center"/>
          </w:tcPr>
          <w:p>
            <w:pPr>
              <w:spacing w:line="600" w:lineRule="exact"/>
              <w:jc w:val="center"/>
            </w:pPr>
            <w:r>
              <w:t>%</w:t>
            </w:r>
          </w:p>
        </w:tc>
        <w:tc>
          <w:tcPr>
            <w:tcW w:w="684" w:type="dxa"/>
            <w:vAlign w:val="center"/>
          </w:tcPr>
          <w:p>
            <w:pPr>
              <w:spacing w:line="600" w:lineRule="exact"/>
              <w:jc w:val="center"/>
            </w:pPr>
            <w:r>
              <w:t>7</w:t>
            </w:r>
          </w:p>
        </w:tc>
        <w:tc>
          <w:tcPr>
            <w:tcW w:w="666" w:type="dxa"/>
            <w:vAlign w:val="center"/>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pPr>
            <w:r>
              <w:t>技术中心拥有的高级专家和博士人数</w:t>
            </w:r>
          </w:p>
        </w:tc>
        <w:tc>
          <w:tcPr>
            <w:tcW w:w="684" w:type="dxa"/>
            <w:vAlign w:val="center"/>
          </w:tcPr>
          <w:p>
            <w:pPr>
              <w:spacing w:line="600" w:lineRule="exact"/>
              <w:jc w:val="center"/>
            </w:pPr>
            <w:r>
              <w:t>人</w:t>
            </w:r>
          </w:p>
        </w:tc>
        <w:tc>
          <w:tcPr>
            <w:tcW w:w="684" w:type="dxa"/>
            <w:vAlign w:val="center"/>
          </w:tcPr>
          <w:p>
            <w:pPr>
              <w:spacing w:line="600" w:lineRule="exact"/>
              <w:jc w:val="center"/>
            </w:pPr>
            <w:r>
              <w:t>4</w:t>
            </w:r>
          </w:p>
        </w:tc>
        <w:tc>
          <w:tcPr>
            <w:tcW w:w="666" w:type="dxa"/>
            <w:vAlign w:val="center"/>
          </w:tcPr>
          <w:p>
            <w:pPr>
              <w:rPr>
                <w:b/>
              </w:rPr>
            </w:pPr>
            <w:r>
              <w:rPr>
                <w: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pPr>
            <w:r>
              <w:t>来技术中心从事研发工作的外部专家人数</w:t>
            </w:r>
          </w:p>
        </w:tc>
        <w:tc>
          <w:tcPr>
            <w:tcW w:w="684" w:type="dxa"/>
            <w:vAlign w:val="center"/>
          </w:tcPr>
          <w:p>
            <w:pPr>
              <w:spacing w:line="600" w:lineRule="exact"/>
              <w:jc w:val="center"/>
            </w:pPr>
            <w:r>
              <w:t>人月</w:t>
            </w:r>
          </w:p>
        </w:tc>
        <w:tc>
          <w:tcPr>
            <w:tcW w:w="684" w:type="dxa"/>
            <w:vAlign w:val="center"/>
          </w:tcPr>
          <w:p>
            <w:pPr>
              <w:spacing w:line="600" w:lineRule="exact"/>
              <w:jc w:val="center"/>
            </w:pPr>
            <w:r>
              <w:t>4</w:t>
            </w:r>
          </w:p>
        </w:tc>
        <w:tc>
          <w:tcPr>
            <w:tcW w:w="666" w:type="dxa"/>
            <w:vAlign w:val="center"/>
          </w:tcPr>
          <w:p>
            <w:pPr>
              <w:rPr>
                <w:b/>
              </w:rPr>
            </w:pPr>
            <w:r>
              <w:rPr>
                <w:b/>
              </w:rPr>
              <w:t>≥8</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 w:type="dxa"/>
            <w:vMerge w:val="restart"/>
            <w:vAlign w:val="center"/>
          </w:tcPr>
          <w:p>
            <w:pPr>
              <w:spacing w:line="600" w:lineRule="exact"/>
              <w:jc w:val="center"/>
            </w:pPr>
            <w:r>
              <w:t>创新条件</w:t>
            </w:r>
          </w:p>
        </w:tc>
        <w:tc>
          <w:tcPr>
            <w:tcW w:w="1152" w:type="dxa"/>
            <w:vMerge w:val="restart"/>
            <w:vAlign w:val="center"/>
          </w:tcPr>
          <w:p>
            <w:pPr>
              <w:spacing w:line="600" w:lineRule="exact"/>
              <w:jc w:val="center"/>
            </w:pPr>
            <w:r>
              <w:t>技术积累</w:t>
            </w:r>
          </w:p>
        </w:tc>
        <w:tc>
          <w:tcPr>
            <w:tcW w:w="684" w:type="dxa"/>
            <w:vMerge w:val="restart"/>
            <w:vAlign w:val="center"/>
          </w:tcPr>
          <w:p>
            <w:pPr>
              <w:spacing w:line="600" w:lineRule="exact"/>
              <w:jc w:val="center"/>
            </w:pPr>
            <w:r>
              <w:t>13</w:t>
            </w:r>
          </w:p>
        </w:tc>
        <w:tc>
          <w:tcPr>
            <w:tcW w:w="4062" w:type="dxa"/>
            <w:vAlign w:val="center"/>
          </w:tcPr>
          <w:p>
            <w:pPr>
              <w:spacing w:line="600" w:lineRule="exact"/>
            </w:pPr>
            <w:r>
              <w:t>企业拥有的全部有效发明专利数</w:t>
            </w:r>
          </w:p>
        </w:tc>
        <w:tc>
          <w:tcPr>
            <w:tcW w:w="684" w:type="dxa"/>
            <w:vAlign w:val="center"/>
          </w:tcPr>
          <w:p>
            <w:pPr>
              <w:spacing w:line="600" w:lineRule="exact"/>
              <w:jc w:val="center"/>
            </w:pPr>
            <w:r>
              <w:t>项</w:t>
            </w:r>
          </w:p>
        </w:tc>
        <w:tc>
          <w:tcPr>
            <w:tcW w:w="684" w:type="dxa"/>
            <w:vAlign w:val="center"/>
          </w:tcPr>
          <w:p>
            <w:pPr>
              <w:spacing w:line="600" w:lineRule="exact"/>
              <w:jc w:val="center"/>
            </w:pPr>
            <w:r>
              <w:t>5</w:t>
            </w:r>
          </w:p>
        </w:tc>
        <w:tc>
          <w:tcPr>
            <w:tcW w:w="666" w:type="dxa"/>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pPr>
            <w:r>
              <w:t>企业全部研发项目数项</w:t>
            </w:r>
          </w:p>
        </w:tc>
        <w:tc>
          <w:tcPr>
            <w:tcW w:w="684" w:type="dxa"/>
            <w:vAlign w:val="center"/>
          </w:tcPr>
          <w:p>
            <w:pPr>
              <w:spacing w:line="600" w:lineRule="exact"/>
              <w:jc w:val="center"/>
            </w:pPr>
            <w:r>
              <w:t>项</w:t>
            </w:r>
          </w:p>
        </w:tc>
        <w:tc>
          <w:tcPr>
            <w:tcW w:w="684" w:type="dxa"/>
            <w:vAlign w:val="center"/>
          </w:tcPr>
          <w:p>
            <w:pPr>
              <w:spacing w:line="600" w:lineRule="exact"/>
              <w:jc w:val="center"/>
            </w:pPr>
            <w:r>
              <w:t>4</w:t>
            </w:r>
          </w:p>
        </w:tc>
        <w:tc>
          <w:tcPr>
            <w:tcW w:w="666" w:type="dxa"/>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pPr>
            <w:r>
              <w:t>研究与试验发展项目数占全部研发项目数的比重</w:t>
            </w:r>
          </w:p>
        </w:tc>
        <w:tc>
          <w:tcPr>
            <w:tcW w:w="684" w:type="dxa"/>
            <w:vAlign w:val="center"/>
          </w:tcPr>
          <w:p>
            <w:pPr>
              <w:spacing w:line="600" w:lineRule="exact"/>
              <w:jc w:val="center"/>
            </w:pPr>
            <w:r>
              <w:t>%</w:t>
            </w:r>
          </w:p>
        </w:tc>
        <w:tc>
          <w:tcPr>
            <w:tcW w:w="684" w:type="dxa"/>
            <w:vAlign w:val="center"/>
          </w:tcPr>
          <w:p>
            <w:pPr>
              <w:spacing w:line="600" w:lineRule="exact"/>
              <w:jc w:val="center"/>
            </w:pPr>
            <w:r>
              <w:t>4</w:t>
            </w:r>
          </w:p>
        </w:tc>
        <w:tc>
          <w:tcPr>
            <w:tcW w:w="666" w:type="dxa"/>
            <w:vAlign w:val="center"/>
          </w:tcPr>
          <w:p>
            <w:r>
              <w:rPr>
                <w:spacing w:val="-6"/>
                <w:kern w:val="0"/>
                <w:sz w:val="18"/>
                <w:szCs w:val="18"/>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2" w:type="dxa"/>
            <w:vMerge w:val="continue"/>
            <w:vAlign w:val="center"/>
          </w:tcPr>
          <w:p>
            <w:pPr>
              <w:spacing w:line="600" w:lineRule="exact"/>
              <w:jc w:val="center"/>
            </w:pPr>
          </w:p>
        </w:tc>
        <w:tc>
          <w:tcPr>
            <w:tcW w:w="1152" w:type="dxa"/>
            <w:vMerge w:val="restart"/>
            <w:vAlign w:val="center"/>
          </w:tcPr>
          <w:p>
            <w:pPr>
              <w:spacing w:line="600" w:lineRule="exact"/>
              <w:jc w:val="center"/>
            </w:pPr>
            <w:r>
              <w:t>创新平台</w:t>
            </w:r>
          </w:p>
        </w:tc>
        <w:tc>
          <w:tcPr>
            <w:tcW w:w="684" w:type="dxa"/>
            <w:vMerge w:val="restart"/>
            <w:vAlign w:val="center"/>
          </w:tcPr>
          <w:p>
            <w:pPr>
              <w:spacing w:line="600" w:lineRule="exact"/>
              <w:jc w:val="center"/>
            </w:pPr>
            <w:r>
              <w:t>12</w:t>
            </w:r>
          </w:p>
        </w:tc>
        <w:tc>
          <w:tcPr>
            <w:tcW w:w="4062" w:type="dxa"/>
            <w:vAlign w:val="center"/>
          </w:tcPr>
          <w:p>
            <w:pPr>
              <w:spacing w:line="600" w:lineRule="exact"/>
            </w:pPr>
            <w:r>
              <w:t>企业技术开发仪器设备原值</w:t>
            </w:r>
          </w:p>
        </w:tc>
        <w:tc>
          <w:tcPr>
            <w:tcW w:w="684" w:type="dxa"/>
            <w:vAlign w:val="center"/>
          </w:tcPr>
          <w:p>
            <w:pPr>
              <w:spacing w:line="600" w:lineRule="exact"/>
              <w:jc w:val="center"/>
            </w:pPr>
            <w:r>
              <w:t>万元</w:t>
            </w:r>
          </w:p>
        </w:tc>
        <w:tc>
          <w:tcPr>
            <w:tcW w:w="684" w:type="dxa"/>
            <w:vAlign w:val="center"/>
          </w:tcPr>
          <w:p>
            <w:pPr>
              <w:spacing w:line="600" w:lineRule="exact"/>
              <w:jc w:val="center"/>
            </w:pPr>
            <w:r>
              <w:t>6</w:t>
            </w:r>
          </w:p>
        </w:tc>
        <w:tc>
          <w:tcPr>
            <w:tcW w:w="666" w:type="dxa"/>
            <w:vAlign w:val="center"/>
          </w:tcPr>
          <w:p>
            <w:r>
              <w:rPr>
                <w:spacing w:val="-6"/>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pPr>
            <w:r>
              <w:t>省级及以上研发平台数</w:t>
            </w:r>
          </w:p>
        </w:tc>
        <w:tc>
          <w:tcPr>
            <w:tcW w:w="684" w:type="dxa"/>
            <w:vAlign w:val="center"/>
          </w:tcPr>
          <w:p>
            <w:pPr>
              <w:spacing w:line="600" w:lineRule="exact"/>
              <w:jc w:val="center"/>
            </w:pPr>
            <w:r>
              <w:t>个</w:t>
            </w:r>
          </w:p>
        </w:tc>
        <w:tc>
          <w:tcPr>
            <w:tcW w:w="684" w:type="dxa"/>
            <w:vAlign w:val="center"/>
          </w:tcPr>
          <w:p>
            <w:pPr>
              <w:spacing w:line="600" w:lineRule="exact"/>
              <w:jc w:val="center"/>
            </w:pPr>
            <w:r>
              <w:t>3</w:t>
            </w:r>
          </w:p>
        </w:tc>
        <w:tc>
          <w:tcPr>
            <w:tcW w:w="666" w:type="dxa"/>
            <w:vAlign w:val="center"/>
          </w:tcPr>
          <w:p>
            <w:r>
              <w:rPr>
                <w:spacing w:val="-6"/>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pPr>
            <w:r>
              <w:t>通过省及以上（国际组织）认证的实验室和检测机构数</w:t>
            </w:r>
          </w:p>
        </w:tc>
        <w:tc>
          <w:tcPr>
            <w:tcW w:w="684" w:type="dxa"/>
            <w:vAlign w:val="center"/>
          </w:tcPr>
          <w:p>
            <w:pPr>
              <w:spacing w:line="600" w:lineRule="exact"/>
              <w:jc w:val="center"/>
            </w:pPr>
            <w:r>
              <w:t>个</w:t>
            </w:r>
          </w:p>
        </w:tc>
        <w:tc>
          <w:tcPr>
            <w:tcW w:w="684" w:type="dxa"/>
            <w:vAlign w:val="center"/>
          </w:tcPr>
          <w:p>
            <w:pPr>
              <w:spacing w:line="600" w:lineRule="exact"/>
              <w:jc w:val="center"/>
            </w:pPr>
            <w:r>
              <w:t>3</w:t>
            </w:r>
          </w:p>
        </w:tc>
        <w:tc>
          <w:tcPr>
            <w:tcW w:w="666" w:type="dxa"/>
            <w:vAlign w:val="center"/>
          </w:tcPr>
          <w:p>
            <w:r>
              <w:rPr>
                <w:spacing w:val="-6"/>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2" w:type="dxa"/>
            <w:vMerge w:val="restart"/>
            <w:vAlign w:val="center"/>
          </w:tcPr>
          <w:p>
            <w:pPr>
              <w:spacing w:line="600" w:lineRule="exact"/>
              <w:jc w:val="center"/>
            </w:pPr>
            <w:r>
              <w:t>创新绩效</w:t>
            </w:r>
          </w:p>
        </w:tc>
        <w:tc>
          <w:tcPr>
            <w:tcW w:w="1152" w:type="dxa"/>
            <w:vMerge w:val="restart"/>
            <w:vAlign w:val="center"/>
          </w:tcPr>
          <w:p>
            <w:pPr>
              <w:spacing w:line="600" w:lineRule="exact"/>
              <w:jc w:val="center"/>
            </w:pPr>
            <w:r>
              <w:t>技术产出</w:t>
            </w:r>
          </w:p>
        </w:tc>
        <w:tc>
          <w:tcPr>
            <w:tcW w:w="684" w:type="dxa"/>
            <w:vMerge w:val="restart"/>
            <w:vAlign w:val="center"/>
          </w:tcPr>
          <w:p>
            <w:pPr>
              <w:spacing w:line="600" w:lineRule="exact"/>
              <w:jc w:val="center"/>
            </w:pPr>
            <w:r>
              <w:t>15</w:t>
            </w:r>
          </w:p>
        </w:tc>
        <w:tc>
          <w:tcPr>
            <w:tcW w:w="4062" w:type="dxa"/>
            <w:vAlign w:val="center"/>
          </w:tcPr>
          <w:p>
            <w:pPr>
              <w:spacing w:line="600" w:lineRule="exact"/>
            </w:pPr>
            <w:r>
              <w:t>当年被受理的专利申请数</w:t>
            </w:r>
          </w:p>
        </w:tc>
        <w:tc>
          <w:tcPr>
            <w:tcW w:w="684" w:type="dxa"/>
            <w:vAlign w:val="center"/>
          </w:tcPr>
          <w:p>
            <w:pPr>
              <w:spacing w:line="600" w:lineRule="exact"/>
              <w:jc w:val="center"/>
            </w:pPr>
            <w:r>
              <w:t>项</w:t>
            </w:r>
          </w:p>
        </w:tc>
        <w:tc>
          <w:tcPr>
            <w:tcW w:w="684" w:type="dxa"/>
            <w:vAlign w:val="center"/>
          </w:tcPr>
          <w:p>
            <w:pPr>
              <w:spacing w:line="600" w:lineRule="exact"/>
              <w:jc w:val="center"/>
            </w:pPr>
            <w:r>
              <w:t>5</w:t>
            </w:r>
          </w:p>
        </w:tc>
        <w:tc>
          <w:tcPr>
            <w:tcW w:w="666" w:type="dxa"/>
            <w:vAlign w:val="center"/>
          </w:tcPr>
          <w:p>
            <w:r>
              <w:rPr>
                <w:spacing w:val="-6"/>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pPr>
            <w:r>
              <w:t>当年被受理的发明专利申请数</w:t>
            </w:r>
          </w:p>
        </w:tc>
        <w:tc>
          <w:tcPr>
            <w:tcW w:w="684" w:type="dxa"/>
            <w:vAlign w:val="center"/>
          </w:tcPr>
          <w:p>
            <w:pPr>
              <w:spacing w:line="600" w:lineRule="exact"/>
              <w:jc w:val="center"/>
            </w:pPr>
            <w:r>
              <w:t>项</w:t>
            </w:r>
          </w:p>
        </w:tc>
        <w:tc>
          <w:tcPr>
            <w:tcW w:w="684" w:type="dxa"/>
            <w:vAlign w:val="center"/>
          </w:tcPr>
          <w:p>
            <w:pPr>
              <w:spacing w:line="600" w:lineRule="exact"/>
              <w:jc w:val="center"/>
            </w:pPr>
            <w:r>
              <w:t>6</w:t>
            </w:r>
          </w:p>
        </w:tc>
        <w:tc>
          <w:tcPr>
            <w:tcW w:w="666" w:type="dxa"/>
            <w:vAlign w:val="center"/>
          </w:tcPr>
          <w:p>
            <w:r>
              <w:rPr>
                <w:spacing w:val="-6"/>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jc w:val="left"/>
            </w:pPr>
            <w:r>
              <w:t>最近三年主持和参加制定的国际、国家和行业标准数</w:t>
            </w:r>
          </w:p>
        </w:tc>
        <w:tc>
          <w:tcPr>
            <w:tcW w:w="684" w:type="dxa"/>
            <w:vAlign w:val="center"/>
          </w:tcPr>
          <w:p>
            <w:pPr>
              <w:spacing w:line="600" w:lineRule="exact"/>
              <w:jc w:val="center"/>
            </w:pPr>
            <w:r>
              <w:t>项</w:t>
            </w:r>
          </w:p>
        </w:tc>
        <w:tc>
          <w:tcPr>
            <w:tcW w:w="684" w:type="dxa"/>
            <w:vAlign w:val="center"/>
          </w:tcPr>
          <w:p>
            <w:pPr>
              <w:spacing w:line="600" w:lineRule="exact"/>
              <w:jc w:val="center"/>
            </w:pPr>
            <w:r>
              <w:t>4</w:t>
            </w:r>
          </w:p>
        </w:tc>
        <w:tc>
          <w:tcPr>
            <w:tcW w:w="666" w:type="dxa"/>
            <w:vAlign w:val="center"/>
          </w:tcPr>
          <w:p>
            <w:r>
              <w:rPr>
                <w:spacing w:val="-6"/>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92" w:type="dxa"/>
            <w:vMerge w:val="continue"/>
            <w:vAlign w:val="center"/>
          </w:tcPr>
          <w:p>
            <w:pPr>
              <w:spacing w:line="600" w:lineRule="exact"/>
              <w:jc w:val="center"/>
            </w:pPr>
          </w:p>
        </w:tc>
        <w:tc>
          <w:tcPr>
            <w:tcW w:w="1152" w:type="dxa"/>
            <w:vMerge w:val="restart"/>
            <w:vAlign w:val="center"/>
          </w:tcPr>
          <w:p>
            <w:pPr>
              <w:spacing w:line="600" w:lineRule="exact"/>
              <w:jc w:val="center"/>
            </w:pPr>
            <w:r>
              <w:t>创新效益</w:t>
            </w:r>
          </w:p>
        </w:tc>
        <w:tc>
          <w:tcPr>
            <w:tcW w:w="684" w:type="dxa"/>
            <w:vMerge w:val="restart"/>
            <w:vAlign w:val="center"/>
          </w:tcPr>
          <w:p>
            <w:pPr>
              <w:spacing w:line="600" w:lineRule="exact"/>
              <w:jc w:val="center"/>
            </w:pPr>
            <w:r>
              <w:t>25</w:t>
            </w:r>
          </w:p>
        </w:tc>
        <w:tc>
          <w:tcPr>
            <w:tcW w:w="4062" w:type="dxa"/>
            <w:vAlign w:val="center"/>
          </w:tcPr>
          <w:p>
            <w:pPr>
              <w:spacing w:line="600" w:lineRule="exact"/>
            </w:pPr>
            <w:r>
              <w:t>新产品销售收入占主营业务收入的比重</w:t>
            </w:r>
          </w:p>
        </w:tc>
        <w:tc>
          <w:tcPr>
            <w:tcW w:w="684" w:type="dxa"/>
            <w:vAlign w:val="center"/>
          </w:tcPr>
          <w:p>
            <w:pPr>
              <w:spacing w:line="600" w:lineRule="exact"/>
              <w:jc w:val="center"/>
            </w:pPr>
            <w:r>
              <w:t>%</w:t>
            </w:r>
          </w:p>
        </w:tc>
        <w:tc>
          <w:tcPr>
            <w:tcW w:w="684" w:type="dxa"/>
            <w:vAlign w:val="center"/>
          </w:tcPr>
          <w:p>
            <w:pPr>
              <w:spacing w:line="600" w:lineRule="exact"/>
              <w:jc w:val="center"/>
            </w:pPr>
            <w:r>
              <w:t>10</w:t>
            </w:r>
          </w:p>
        </w:tc>
        <w:tc>
          <w:tcPr>
            <w:tcW w:w="666" w:type="dxa"/>
            <w:vAlign w:val="center"/>
          </w:tcPr>
          <w:p>
            <w:r>
              <w:rPr>
                <w:spacing w:val="-6"/>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pPr>
            <w:r>
              <w:t>新产品销售利润占利润总额的比重</w:t>
            </w:r>
          </w:p>
        </w:tc>
        <w:tc>
          <w:tcPr>
            <w:tcW w:w="684" w:type="dxa"/>
            <w:vAlign w:val="center"/>
          </w:tcPr>
          <w:p>
            <w:pPr>
              <w:spacing w:line="600" w:lineRule="exact"/>
              <w:jc w:val="center"/>
            </w:pPr>
            <w:r>
              <w:t>%</w:t>
            </w:r>
          </w:p>
        </w:tc>
        <w:tc>
          <w:tcPr>
            <w:tcW w:w="684" w:type="dxa"/>
            <w:vAlign w:val="center"/>
          </w:tcPr>
          <w:p>
            <w:pPr>
              <w:spacing w:line="600" w:lineRule="exact"/>
              <w:jc w:val="center"/>
            </w:pPr>
            <w:r>
              <w:t>10</w:t>
            </w:r>
          </w:p>
        </w:tc>
        <w:tc>
          <w:tcPr>
            <w:tcW w:w="666" w:type="dxa"/>
            <w:vAlign w:val="center"/>
          </w:tcPr>
          <w:p>
            <w:r>
              <w:rPr>
                <w:spacing w:val="-6"/>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2" w:type="dxa"/>
            <w:vMerge w:val="continue"/>
            <w:vAlign w:val="center"/>
          </w:tcPr>
          <w:p>
            <w:pPr>
              <w:spacing w:line="600" w:lineRule="exact"/>
              <w:jc w:val="center"/>
            </w:pPr>
          </w:p>
        </w:tc>
        <w:tc>
          <w:tcPr>
            <w:tcW w:w="1152" w:type="dxa"/>
            <w:vMerge w:val="continue"/>
            <w:vAlign w:val="center"/>
          </w:tcPr>
          <w:p>
            <w:pPr>
              <w:spacing w:line="600" w:lineRule="exact"/>
              <w:jc w:val="center"/>
            </w:pPr>
          </w:p>
        </w:tc>
        <w:tc>
          <w:tcPr>
            <w:tcW w:w="684" w:type="dxa"/>
            <w:vMerge w:val="continue"/>
            <w:vAlign w:val="center"/>
          </w:tcPr>
          <w:p>
            <w:pPr>
              <w:spacing w:line="600" w:lineRule="exact"/>
              <w:jc w:val="center"/>
            </w:pPr>
          </w:p>
        </w:tc>
        <w:tc>
          <w:tcPr>
            <w:tcW w:w="4062" w:type="dxa"/>
            <w:vAlign w:val="center"/>
          </w:tcPr>
          <w:p>
            <w:pPr>
              <w:spacing w:line="600" w:lineRule="exact"/>
              <w:jc w:val="left"/>
            </w:pPr>
            <w:r>
              <w:t>利润率</w:t>
            </w:r>
          </w:p>
        </w:tc>
        <w:tc>
          <w:tcPr>
            <w:tcW w:w="684" w:type="dxa"/>
            <w:vAlign w:val="center"/>
          </w:tcPr>
          <w:p>
            <w:pPr>
              <w:spacing w:line="600" w:lineRule="exact"/>
              <w:jc w:val="center"/>
            </w:pPr>
            <w:r>
              <w:t>%</w:t>
            </w:r>
          </w:p>
        </w:tc>
        <w:tc>
          <w:tcPr>
            <w:tcW w:w="684" w:type="dxa"/>
            <w:vAlign w:val="center"/>
          </w:tcPr>
          <w:p>
            <w:pPr>
              <w:spacing w:line="600" w:lineRule="exact"/>
              <w:jc w:val="center"/>
            </w:pPr>
            <w:r>
              <w:t>5</w:t>
            </w:r>
          </w:p>
        </w:tc>
        <w:tc>
          <w:tcPr>
            <w:tcW w:w="666" w:type="dxa"/>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92" w:type="dxa"/>
            <w:vAlign w:val="center"/>
          </w:tcPr>
          <w:p>
            <w:pPr>
              <w:spacing w:line="600" w:lineRule="exact"/>
              <w:jc w:val="center"/>
            </w:pPr>
            <w:r>
              <w:t>加分</w:t>
            </w:r>
          </w:p>
        </w:tc>
        <w:tc>
          <w:tcPr>
            <w:tcW w:w="1152" w:type="dxa"/>
            <w:vAlign w:val="center"/>
          </w:tcPr>
          <w:p>
            <w:pPr>
              <w:spacing w:line="600" w:lineRule="exact"/>
              <w:jc w:val="center"/>
            </w:pPr>
            <w:r>
              <w:t>加分</w:t>
            </w:r>
          </w:p>
        </w:tc>
        <w:tc>
          <w:tcPr>
            <w:tcW w:w="684" w:type="dxa"/>
            <w:vAlign w:val="center"/>
          </w:tcPr>
          <w:p>
            <w:pPr>
              <w:spacing w:line="600" w:lineRule="exact"/>
              <w:jc w:val="center"/>
            </w:pPr>
          </w:p>
        </w:tc>
        <w:tc>
          <w:tcPr>
            <w:tcW w:w="4062" w:type="dxa"/>
            <w:vAlign w:val="center"/>
          </w:tcPr>
          <w:p>
            <w:pPr>
              <w:spacing w:line="600" w:lineRule="exact"/>
              <w:jc w:val="left"/>
            </w:pPr>
            <w:r>
              <w:t>获省及以上自然科学、技术发明、科技进步奖项目数</w:t>
            </w:r>
          </w:p>
        </w:tc>
        <w:tc>
          <w:tcPr>
            <w:tcW w:w="684" w:type="dxa"/>
            <w:vAlign w:val="center"/>
          </w:tcPr>
          <w:p>
            <w:pPr>
              <w:spacing w:line="600" w:lineRule="exact"/>
              <w:jc w:val="center"/>
            </w:pPr>
            <w:r>
              <w:t>项</w:t>
            </w:r>
          </w:p>
        </w:tc>
        <w:tc>
          <w:tcPr>
            <w:tcW w:w="684" w:type="dxa"/>
            <w:vAlign w:val="center"/>
          </w:tcPr>
          <w:p>
            <w:pPr>
              <w:spacing w:line="600" w:lineRule="exact"/>
              <w:jc w:val="center"/>
            </w:pPr>
            <w:r>
              <w:t>≤5</w:t>
            </w:r>
          </w:p>
        </w:tc>
        <w:tc>
          <w:tcPr>
            <w:tcW w:w="666" w:type="dxa"/>
            <w:vAlign w:val="center"/>
          </w:tcPr>
          <w:p/>
        </w:tc>
      </w:tr>
    </w:tbl>
    <w:p>
      <w:pPr>
        <w:spacing w:line="600" w:lineRule="exact"/>
        <w:ind w:firstLine="608" w:firstLineChars="200"/>
        <w:rPr>
          <w:szCs w:val="32"/>
        </w:rPr>
      </w:pPr>
      <w:r>
        <w:rPr>
          <w:szCs w:val="32"/>
        </w:rPr>
        <w:t>说明：</w:t>
      </w:r>
    </w:p>
    <w:p>
      <w:pPr>
        <w:ind w:firstLine="608" w:firstLineChars="200"/>
        <w:rPr>
          <w:szCs w:val="32"/>
        </w:rPr>
      </w:pPr>
      <w:r>
        <w:rPr>
          <w:szCs w:val="32"/>
        </w:rPr>
        <w:t>1.考虑到不同规模企业在研发投入强度上存在显著差异，对“研发经费支出占主营业务收入的比重”这一指标的基本要求按照企业规模划分为3档：主营业务收入5亿元及以上的企业为2.0%，主营业务收入1.5～5亿元的企业为为2.5%，主营业务收入1.5亿元以下的企业为3.0%。</w:t>
      </w:r>
    </w:p>
    <w:p>
      <w:pPr>
        <w:ind w:firstLine="608" w:firstLineChars="200"/>
        <w:rPr>
          <w:szCs w:val="32"/>
        </w:rPr>
      </w:pPr>
      <w:r>
        <w:rPr>
          <w:szCs w:val="32"/>
        </w:rPr>
        <w:t>2.企业作为主要完成单位或企业员工作为主要完成人获省级以上自然科学、技术发明、科技进步奖项目，省级一等奖每项加3 分，二等奖每项加2分，三等奖每项加1分，国家级奖项1项加5分，累计不超过5分。同一项目只统计最高奖项。</w:t>
      </w:r>
    </w:p>
    <w:p>
      <w:pPr>
        <w:spacing w:line="600" w:lineRule="exact"/>
        <w:ind w:firstLine="672" w:firstLineChars="221"/>
        <w:rPr>
          <w:szCs w:val="32"/>
        </w:rPr>
      </w:pPr>
    </w:p>
    <w:p>
      <w:pPr>
        <w:spacing w:line="600" w:lineRule="exact"/>
        <w:ind w:firstLine="568" w:firstLineChars="200"/>
        <w:rPr>
          <w:rFonts w:eastAsia="黑体"/>
          <w:kern w:val="0"/>
          <w:sz w:val="30"/>
          <w:szCs w:val="30"/>
        </w:rPr>
      </w:pPr>
      <w:r>
        <w:rPr>
          <w:rFonts w:eastAsia="黑体"/>
          <w:kern w:val="0"/>
          <w:sz w:val="30"/>
          <w:szCs w:val="30"/>
        </w:rPr>
        <w:t>三、行业系数</w:t>
      </w:r>
    </w:p>
    <w:tbl>
      <w:tblPr>
        <w:tblStyle w:val="5"/>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1134"/>
        <w:gridCol w:w="1701"/>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2694" w:type="dxa"/>
          </w:tcPr>
          <w:p>
            <w:pPr>
              <w:spacing w:line="600" w:lineRule="exact"/>
              <w:jc w:val="center"/>
              <w:rPr>
                <w:b/>
              </w:rPr>
            </w:pPr>
          </w:p>
          <w:p>
            <w:pPr>
              <w:spacing w:line="600" w:lineRule="exact"/>
              <w:jc w:val="center"/>
              <w:rPr>
                <w:b/>
              </w:rPr>
            </w:pPr>
            <w:r>
              <w:rPr>
                <w:b/>
              </w:rPr>
              <w:t>行业名称</w:t>
            </w:r>
          </w:p>
        </w:tc>
        <w:tc>
          <w:tcPr>
            <w:tcW w:w="1134" w:type="dxa"/>
          </w:tcPr>
          <w:p>
            <w:pPr>
              <w:spacing w:line="600" w:lineRule="exact"/>
              <w:jc w:val="center"/>
              <w:rPr>
                <w:b/>
              </w:rPr>
            </w:pPr>
            <w:r>
              <w:rPr>
                <w:b/>
              </w:rPr>
              <w:t>国民经济分类代码</w:t>
            </w:r>
          </w:p>
        </w:tc>
        <w:tc>
          <w:tcPr>
            <w:tcW w:w="1701" w:type="dxa"/>
          </w:tcPr>
          <w:p>
            <w:pPr>
              <w:spacing w:line="600" w:lineRule="exact"/>
              <w:jc w:val="center"/>
              <w:rPr>
                <w:b/>
              </w:rPr>
            </w:pPr>
            <w:r>
              <w:rPr>
                <w:b/>
              </w:rPr>
              <w:t>研发经费支出占主营业务收入的比重</w:t>
            </w:r>
          </w:p>
        </w:tc>
        <w:tc>
          <w:tcPr>
            <w:tcW w:w="1701" w:type="dxa"/>
          </w:tcPr>
          <w:p>
            <w:pPr>
              <w:spacing w:line="600" w:lineRule="exact"/>
              <w:jc w:val="center"/>
              <w:rPr>
                <w:b/>
              </w:rPr>
            </w:pPr>
            <w:r>
              <w:rPr>
                <w:b/>
              </w:rPr>
              <w:t>新产品销售收入占主营业务收入的比重</w:t>
            </w:r>
          </w:p>
        </w:tc>
        <w:tc>
          <w:tcPr>
            <w:tcW w:w="1701" w:type="dxa"/>
          </w:tcPr>
          <w:p>
            <w:pPr>
              <w:spacing w:line="600" w:lineRule="exact"/>
              <w:jc w:val="center"/>
              <w:rPr>
                <w:b/>
              </w:rPr>
            </w:pPr>
            <w:r>
              <w:rPr>
                <w:b/>
              </w:rPr>
              <w:t>新产品销售利润占利润总额的比重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农业</w:t>
            </w:r>
          </w:p>
        </w:tc>
        <w:tc>
          <w:tcPr>
            <w:tcW w:w="1134" w:type="dxa"/>
          </w:tcPr>
          <w:p>
            <w:pPr>
              <w:spacing w:line="600" w:lineRule="exact"/>
              <w:rPr>
                <w:kern w:val="0"/>
                <w:szCs w:val="21"/>
              </w:rPr>
            </w:pPr>
            <w:r>
              <w:rPr>
                <w:kern w:val="0"/>
                <w:szCs w:val="21"/>
              </w:rPr>
              <w:t>01</w:t>
            </w:r>
          </w:p>
        </w:tc>
        <w:tc>
          <w:tcPr>
            <w:tcW w:w="1701" w:type="dxa"/>
          </w:tcPr>
          <w:p>
            <w:pPr>
              <w:spacing w:line="600" w:lineRule="exact"/>
              <w:rPr>
                <w:kern w:val="0"/>
                <w:szCs w:val="21"/>
              </w:rPr>
            </w:pPr>
            <w:r>
              <w:rPr>
                <w:kern w:val="0"/>
                <w:szCs w:val="21"/>
              </w:rPr>
              <w:t>1.5</w:t>
            </w:r>
          </w:p>
        </w:tc>
        <w:tc>
          <w:tcPr>
            <w:tcW w:w="1701" w:type="dxa"/>
          </w:tcPr>
          <w:p>
            <w:pPr>
              <w:spacing w:line="600" w:lineRule="exact"/>
              <w:rPr>
                <w:szCs w:val="21"/>
              </w:rPr>
            </w:pPr>
            <w:r>
              <w:rPr>
                <w:kern w:val="0"/>
                <w:szCs w:val="21"/>
              </w:rPr>
              <w:t>1.5</w:t>
            </w:r>
          </w:p>
        </w:tc>
        <w:tc>
          <w:tcPr>
            <w:tcW w:w="1701" w:type="dxa"/>
          </w:tcPr>
          <w:p>
            <w:pPr>
              <w:spacing w:line="600" w:lineRule="exact"/>
              <w:rPr>
                <w:kern w:val="0"/>
                <w:szCs w:val="21"/>
              </w:rPr>
            </w:pPr>
            <w:r>
              <w:rPr>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autoSpaceDE w:val="0"/>
              <w:autoSpaceDN w:val="0"/>
              <w:adjustRightInd w:val="0"/>
              <w:spacing w:line="600" w:lineRule="exact"/>
              <w:jc w:val="left"/>
              <w:rPr>
                <w:kern w:val="0"/>
                <w:szCs w:val="21"/>
              </w:rPr>
            </w:pPr>
            <w:r>
              <w:rPr>
                <w:kern w:val="0"/>
                <w:szCs w:val="21"/>
              </w:rPr>
              <w:t>煤炭开采和洗选业</w:t>
            </w:r>
          </w:p>
        </w:tc>
        <w:tc>
          <w:tcPr>
            <w:tcW w:w="1134" w:type="dxa"/>
          </w:tcPr>
          <w:p>
            <w:pPr>
              <w:autoSpaceDE w:val="0"/>
              <w:autoSpaceDN w:val="0"/>
              <w:adjustRightInd w:val="0"/>
              <w:spacing w:line="600" w:lineRule="exact"/>
              <w:jc w:val="left"/>
              <w:rPr>
                <w:kern w:val="0"/>
                <w:szCs w:val="21"/>
              </w:rPr>
            </w:pPr>
            <w:r>
              <w:rPr>
                <w:kern w:val="0"/>
                <w:szCs w:val="21"/>
              </w:rPr>
              <w:t>06</w:t>
            </w:r>
          </w:p>
        </w:tc>
        <w:tc>
          <w:tcPr>
            <w:tcW w:w="1701" w:type="dxa"/>
          </w:tcPr>
          <w:p>
            <w:pPr>
              <w:autoSpaceDE w:val="0"/>
              <w:autoSpaceDN w:val="0"/>
              <w:adjustRightInd w:val="0"/>
              <w:spacing w:line="600" w:lineRule="exact"/>
              <w:jc w:val="left"/>
              <w:rPr>
                <w:kern w:val="0"/>
                <w:szCs w:val="21"/>
              </w:rPr>
            </w:pPr>
            <w:r>
              <w:rPr>
                <w:kern w:val="0"/>
                <w:szCs w:val="21"/>
              </w:rPr>
              <w:t>2.0</w:t>
            </w:r>
          </w:p>
        </w:tc>
        <w:tc>
          <w:tcPr>
            <w:tcW w:w="1701" w:type="dxa"/>
          </w:tcPr>
          <w:p>
            <w:pPr>
              <w:autoSpaceDE w:val="0"/>
              <w:autoSpaceDN w:val="0"/>
              <w:adjustRightInd w:val="0"/>
              <w:spacing w:line="600" w:lineRule="exact"/>
              <w:jc w:val="left"/>
              <w:rPr>
                <w:kern w:val="0"/>
                <w:szCs w:val="21"/>
              </w:rPr>
            </w:pPr>
            <w:r>
              <w:rPr>
                <w:kern w:val="0"/>
                <w:szCs w:val="21"/>
              </w:rPr>
              <w:t>3.0</w:t>
            </w:r>
          </w:p>
        </w:tc>
        <w:tc>
          <w:tcPr>
            <w:tcW w:w="1701" w:type="dxa"/>
          </w:tcPr>
          <w:p>
            <w:pPr>
              <w:autoSpaceDE w:val="0"/>
              <w:autoSpaceDN w:val="0"/>
              <w:adjustRightInd w:val="0"/>
              <w:spacing w:line="600" w:lineRule="exact"/>
              <w:jc w:val="left"/>
              <w:rPr>
                <w:kern w:val="0"/>
                <w:szCs w:val="21"/>
              </w:rPr>
            </w:pPr>
            <w:r>
              <w:rPr>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autoSpaceDE w:val="0"/>
              <w:autoSpaceDN w:val="0"/>
              <w:adjustRightInd w:val="0"/>
              <w:spacing w:line="600" w:lineRule="exact"/>
              <w:jc w:val="left"/>
              <w:rPr>
                <w:kern w:val="0"/>
                <w:szCs w:val="21"/>
              </w:rPr>
            </w:pPr>
            <w:r>
              <w:rPr>
                <w:kern w:val="0"/>
                <w:szCs w:val="21"/>
              </w:rPr>
              <w:t>石油和天然气开采业</w:t>
            </w:r>
          </w:p>
        </w:tc>
        <w:tc>
          <w:tcPr>
            <w:tcW w:w="1134" w:type="dxa"/>
          </w:tcPr>
          <w:p>
            <w:pPr>
              <w:autoSpaceDE w:val="0"/>
              <w:autoSpaceDN w:val="0"/>
              <w:adjustRightInd w:val="0"/>
              <w:spacing w:line="600" w:lineRule="exact"/>
              <w:jc w:val="left"/>
              <w:rPr>
                <w:kern w:val="0"/>
                <w:szCs w:val="21"/>
              </w:rPr>
            </w:pPr>
            <w:r>
              <w:rPr>
                <w:kern w:val="0"/>
                <w:szCs w:val="21"/>
              </w:rPr>
              <w:t>07</w:t>
            </w:r>
          </w:p>
        </w:tc>
        <w:tc>
          <w:tcPr>
            <w:tcW w:w="1701" w:type="dxa"/>
          </w:tcPr>
          <w:p>
            <w:pPr>
              <w:autoSpaceDE w:val="0"/>
              <w:autoSpaceDN w:val="0"/>
              <w:adjustRightInd w:val="0"/>
              <w:spacing w:line="600" w:lineRule="exact"/>
              <w:jc w:val="left"/>
              <w:rPr>
                <w:kern w:val="0"/>
                <w:szCs w:val="21"/>
              </w:rPr>
            </w:pPr>
            <w:r>
              <w:rPr>
                <w:kern w:val="0"/>
                <w:szCs w:val="21"/>
              </w:rPr>
              <w:t>2.0</w:t>
            </w:r>
          </w:p>
        </w:tc>
        <w:tc>
          <w:tcPr>
            <w:tcW w:w="1701" w:type="dxa"/>
          </w:tcPr>
          <w:p>
            <w:pPr>
              <w:autoSpaceDE w:val="0"/>
              <w:autoSpaceDN w:val="0"/>
              <w:adjustRightInd w:val="0"/>
              <w:spacing w:line="600" w:lineRule="exact"/>
              <w:jc w:val="left"/>
              <w:rPr>
                <w:kern w:val="0"/>
                <w:szCs w:val="21"/>
              </w:rPr>
            </w:pPr>
            <w:r>
              <w:rPr>
                <w:kern w:val="0"/>
                <w:szCs w:val="21"/>
              </w:rPr>
              <w:t>3.0</w:t>
            </w:r>
          </w:p>
        </w:tc>
        <w:tc>
          <w:tcPr>
            <w:tcW w:w="1701" w:type="dxa"/>
          </w:tcPr>
          <w:p>
            <w:pPr>
              <w:autoSpaceDE w:val="0"/>
              <w:autoSpaceDN w:val="0"/>
              <w:adjustRightInd w:val="0"/>
              <w:spacing w:line="600" w:lineRule="exact"/>
              <w:jc w:val="left"/>
              <w:rPr>
                <w:kern w:val="0"/>
                <w:szCs w:val="21"/>
              </w:rPr>
            </w:pPr>
            <w:r>
              <w:rPr>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autoSpaceDE w:val="0"/>
              <w:autoSpaceDN w:val="0"/>
              <w:adjustRightInd w:val="0"/>
              <w:spacing w:line="600" w:lineRule="exact"/>
              <w:jc w:val="left"/>
              <w:rPr>
                <w:kern w:val="0"/>
                <w:szCs w:val="21"/>
              </w:rPr>
            </w:pPr>
            <w:r>
              <w:rPr>
                <w:kern w:val="0"/>
                <w:szCs w:val="21"/>
              </w:rPr>
              <w:t>有色金属矿采选业</w:t>
            </w:r>
          </w:p>
        </w:tc>
        <w:tc>
          <w:tcPr>
            <w:tcW w:w="1134" w:type="dxa"/>
          </w:tcPr>
          <w:p>
            <w:pPr>
              <w:autoSpaceDE w:val="0"/>
              <w:autoSpaceDN w:val="0"/>
              <w:adjustRightInd w:val="0"/>
              <w:spacing w:line="600" w:lineRule="exact"/>
              <w:jc w:val="left"/>
              <w:rPr>
                <w:kern w:val="0"/>
                <w:szCs w:val="21"/>
              </w:rPr>
            </w:pPr>
            <w:r>
              <w:rPr>
                <w:kern w:val="0"/>
                <w:szCs w:val="21"/>
              </w:rPr>
              <w:t>09</w:t>
            </w:r>
          </w:p>
        </w:tc>
        <w:tc>
          <w:tcPr>
            <w:tcW w:w="1701" w:type="dxa"/>
          </w:tcPr>
          <w:p>
            <w:pPr>
              <w:autoSpaceDE w:val="0"/>
              <w:autoSpaceDN w:val="0"/>
              <w:adjustRightInd w:val="0"/>
              <w:spacing w:line="600" w:lineRule="exact"/>
              <w:jc w:val="left"/>
              <w:rPr>
                <w:kern w:val="0"/>
                <w:szCs w:val="21"/>
              </w:rPr>
            </w:pPr>
            <w:r>
              <w:rPr>
                <w:kern w:val="0"/>
                <w:szCs w:val="21"/>
              </w:rPr>
              <w:t>2.0</w:t>
            </w:r>
          </w:p>
        </w:tc>
        <w:tc>
          <w:tcPr>
            <w:tcW w:w="1701" w:type="dxa"/>
          </w:tcPr>
          <w:p>
            <w:pPr>
              <w:autoSpaceDE w:val="0"/>
              <w:autoSpaceDN w:val="0"/>
              <w:adjustRightInd w:val="0"/>
              <w:spacing w:line="600" w:lineRule="exact"/>
              <w:jc w:val="left"/>
              <w:rPr>
                <w:kern w:val="0"/>
                <w:szCs w:val="21"/>
              </w:rPr>
            </w:pPr>
            <w:r>
              <w:rPr>
                <w:kern w:val="0"/>
                <w:szCs w:val="21"/>
              </w:rPr>
              <w:t>3.0</w:t>
            </w:r>
          </w:p>
        </w:tc>
        <w:tc>
          <w:tcPr>
            <w:tcW w:w="1701" w:type="dxa"/>
          </w:tcPr>
          <w:p>
            <w:pPr>
              <w:autoSpaceDE w:val="0"/>
              <w:autoSpaceDN w:val="0"/>
              <w:adjustRightInd w:val="0"/>
              <w:spacing w:line="600" w:lineRule="exact"/>
              <w:jc w:val="left"/>
              <w:rPr>
                <w:kern w:val="0"/>
                <w:szCs w:val="21"/>
              </w:rPr>
            </w:pPr>
            <w:r>
              <w:rPr>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autoSpaceDE w:val="0"/>
              <w:autoSpaceDN w:val="0"/>
              <w:adjustRightInd w:val="0"/>
              <w:spacing w:line="600" w:lineRule="exact"/>
              <w:jc w:val="left"/>
              <w:rPr>
                <w:kern w:val="0"/>
                <w:szCs w:val="21"/>
              </w:rPr>
            </w:pPr>
            <w:r>
              <w:rPr>
                <w:kern w:val="0"/>
                <w:szCs w:val="21"/>
              </w:rPr>
              <w:t>农副食品加工业</w:t>
            </w:r>
          </w:p>
        </w:tc>
        <w:tc>
          <w:tcPr>
            <w:tcW w:w="1134" w:type="dxa"/>
          </w:tcPr>
          <w:p>
            <w:pPr>
              <w:autoSpaceDE w:val="0"/>
              <w:autoSpaceDN w:val="0"/>
              <w:adjustRightInd w:val="0"/>
              <w:spacing w:line="600" w:lineRule="exact"/>
              <w:jc w:val="left"/>
              <w:rPr>
                <w:kern w:val="0"/>
                <w:szCs w:val="21"/>
              </w:rPr>
            </w:pPr>
            <w:r>
              <w:rPr>
                <w:kern w:val="0"/>
                <w:szCs w:val="21"/>
              </w:rPr>
              <w:t>13</w:t>
            </w:r>
          </w:p>
        </w:tc>
        <w:tc>
          <w:tcPr>
            <w:tcW w:w="1701" w:type="dxa"/>
          </w:tcPr>
          <w:p>
            <w:pPr>
              <w:autoSpaceDE w:val="0"/>
              <w:autoSpaceDN w:val="0"/>
              <w:adjustRightInd w:val="0"/>
              <w:spacing w:line="600" w:lineRule="exact"/>
              <w:jc w:val="left"/>
              <w:rPr>
                <w:kern w:val="0"/>
                <w:szCs w:val="21"/>
              </w:rPr>
            </w:pPr>
            <w:r>
              <w:rPr>
                <w:kern w:val="0"/>
                <w:szCs w:val="21"/>
              </w:rPr>
              <w:t>1.5</w:t>
            </w:r>
          </w:p>
        </w:tc>
        <w:tc>
          <w:tcPr>
            <w:tcW w:w="1701" w:type="dxa"/>
          </w:tcPr>
          <w:p>
            <w:pPr>
              <w:autoSpaceDE w:val="0"/>
              <w:autoSpaceDN w:val="0"/>
              <w:adjustRightInd w:val="0"/>
              <w:spacing w:line="600" w:lineRule="exact"/>
              <w:jc w:val="left"/>
              <w:rPr>
                <w:kern w:val="0"/>
                <w:szCs w:val="21"/>
              </w:rPr>
            </w:pPr>
            <w:r>
              <w:rPr>
                <w:kern w:val="0"/>
                <w:szCs w:val="21"/>
              </w:rPr>
              <w:t>1.5</w:t>
            </w:r>
          </w:p>
        </w:tc>
        <w:tc>
          <w:tcPr>
            <w:tcW w:w="1701" w:type="dxa"/>
          </w:tcPr>
          <w:p>
            <w:pPr>
              <w:autoSpaceDE w:val="0"/>
              <w:autoSpaceDN w:val="0"/>
              <w:adjustRightInd w:val="0"/>
              <w:spacing w:line="600" w:lineRule="exact"/>
              <w:jc w:val="lef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食品制造业</w:t>
            </w:r>
          </w:p>
        </w:tc>
        <w:tc>
          <w:tcPr>
            <w:tcW w:w="1134" w:type="dxa"/>
          </w:tcPr>
          <w:p>
            <w:pPr>
              <w:spacing w:line="600" w:lineRule="exact"/>
              <w:rPr>
                <w:kern w:val="0"/>
                <w:szCs w:val="21"/>
              </w:rPr>
            </w:pPr>
            <w:r>
              <w:rPr>
                <w:kern w:val="0"/>
                <w:szCs w:val="21"/>
              </w:rPr>
              <w:t>14</w:t>
            </w:r>
          </w:p>
        </w:tc>
        <w:tc>
          <w:tcPr>
            <w:tcW w:w="1701" w:type="dxa"/>
          </w:tcPr>
          <w:p>
            <w:pPr>
              <w:spacing w:line="600" w:lineRule="exact"/>
              <w:rPr>
                <w:kern w:val="0"/>
                <w:szCs w:val="21"/>
              </w:rPr>
            </w:pPr>
            <w:r>
              <w:rPr>
                <w:kern w:val="0"/>
                <w:szCs w:val="21"/>
              </w:rPr>
              <w:t>1.5</w:t>
            </w:r>
          </w:p>
        </w:tc>
        <w:tc>
          <w:tcPr>
            <w:tcW w:w="1701" w:type="dxa"/>
          </w:tcPr>
          <w:p>
            <w:pPr>
              <w:spacing w:line="600" w:lineRule="exact"/>
              <w:rPr>
                <w:szCs w:val="21"/>
              </w:rPr>
            </w:pPr>
            <w:r>
              <w:rPr>
                <w:kern w:val="0"/>
                <w:szCs w:val="21"/>
              </w:rPr>
              <w:t>1.0</w:t>
            </w:r>
          </w:p>
        </w:tc>
        <w:tc>
          <w:tcPr>
            <w:tcW w:w="1701" w:type="dxa"/>
          </w:tcPr>
          <w:p>
            <w:pPr>
              <w:spacing w:line="600" w:lineRule="exact"/>
              <w:rPr>
                <w:kern w:val="0"/>
                <w:szCs w:val="21"/>
              </w:rPr>
            </w:pPr>
            <w:r>
              <w:rPr>
                <w:kern w:val="0"/>
                <w:szCs w:val="21"/>
              </w:rPr>
              <w:t>1. 0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2694" w:type="dxa"/>
          </w:tcPr>
          <w:p>
            <w:pPr>
              <w:spacing w:line="600" w:lineRule="exact"/>
              <w:rPr>
                <w:kern w:val="0"/>
                <w:szCs w:val="21"/>
              </w:rPr>
            </w:pPr>
            <w:r>
              <w:rPr>
                <w:kern w:val="0"/>
                <w:szCs w:val="21"/>
              </w:rPr>
              <w:t>酒、饮料和精制茶制造业</w:t>
            </w:r>
          </w:p>
        </w:tc>
        <w:tc>
          <w:tcPr>
            <w:tcW w:w="1134"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1.2</w:t>
            </w:r>
          </w:p>
        </w:tc>
        <w:tc>
          <w:tcPr>
            <w:tcW w:w="1701" w:type="dxa"/>
          </w:tcPr>
          <w:p>
            <w:pPr>
              <w:spacing w:line="600" w:lineRule="exact"/>
              <w:rPr>
                <w:szCs w:val="21"/>
              </w:rPr>
            </w:pPr>
            <w:r>
              <w:rPr>
                <w:kern w:val="0"/>
                <w:szCs w:val="21"/>
              </w:rPr>
              <w:t>1.5</w:t>
            </w:r>
          </w:p>
        </w:tc>
        <w:tc>
          <w:tcPr>
            <w:tcW w:w="1701" w:type="dxa"/>
          </w:tcPr>
          <w:p>
            <w:pPr>
              <w:spacing w:line="600" w:lineRule="exact"/>
              <w:rPr>
                <w:kern w:val="0"/>
                <w:szCs w:val="21"/>
              </w:rPr>
            </w:pPr>
            <w:r>
              <w:rPr>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烟草制品业</w:t>
            </w:r>
          </w:p>
        </w:tc>
        <w:tc>
          <w:tcPr>
            <w:tcW w:w="1134" w:type="dxa"/>
          </w:tcPr>
          <w:p>
            <w:pPr>
              <w:spacing w:line="600" w:lineRule="exact"/>
              <w:rPr>
                <w:kern w:val="0"/>
                <w:szCs w:val="21"/>
              </w:rPr>
            </w:pPr>
            <w:r>
              <w:rPr>
                <w:kern w:val="0"/>
                <w:szCs w:val="21"/>
              </w:rPr>
              <w:t>16</w:t>
            </w:r>
          </w:p>
        </w:tc>
        <w:tc>
          <w:tcPr>
            <w:tcW w:w="1701" w:type="dxa"/>
          </w:tcPr>
          <w:p>
            <w:pPr>
              <w:spacing w:line="600" w:lineRule="exact"/>
              <w:rPr>
                <w:kern w:val="0"/>
                <w:szCs w:val="21"/>
              </w:rPr>
            </w:pPr>
            <w:r>
              <w:rPr>
                <w:kern w:val="0"/>
                <w:szCs w:val="21"/>
              </w:rPr>
              <w:t>3.0</w:t>
            </w:r>
          </w:p>
        </w:tc>
        <w:tc>
          <w:tcPr>
            <w:tcW w:w="1701"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纺织业</w:t>
            </w:r>
          </w:p>
        </w:tc>
        <w:tc>
          <w:tcPr>
            <w:tcW w:w="1134" w:type="dxa"/>
          </w:tcPr>
          <w:p>
            <w:pPr>
              <w:spacing w:line="600" w:lineRule="exact"/>
              <w:rPr>
                <w:kern w:val="0"/>
                <w:szCs w:val="21"/>
              </w:rPr>
            </w:pPr>
            <w:r>
              <w:rPr>
                <w:kern w:val="0"/>
                <w:szCs w:val="21"/>
              </w:rPr>
              <w:t>17</w:t>
            </w:r>
          </w:p>
        </w:tc>
        <w:tc>
          <w:tcPr>
            <w:tcW w:w="1701" w:type="dxa"/>
          </w:tcPr>
          <w:p>
            <w:pPr>
              <w:spacing w:line="600" w:lineRule="exact"/>
              <w:rPr>
                <w:kern w:val="0"/>
                <w:szCs w:val="21"/>
              </w:rPr>
            </w:pPr>
            <w:r>
              <w:rPr>
                <w:kern w:val="0"/>
                <w:szCs w:val="21"/>
              </w:rPr>
              <w:t>1.2</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纺织服装、服饰业</w:t>
            </w:r>
          </w:p>
        </w:tc>
        <w:tc>
          <w:tcPr>
            <w:tcW w:w="1134" w:type="dxa"/>
          </w:tcPr>
          <w:p>
            <w:pPr>
              <w:spacing w:line="600" w:lineRule="exact"/>
              <w:rPr>
                <w:kern w:val="0"/>
                <w:szCs w:val="21"/>
              </w:rPr>
            </w:pPr>
            <w:r>
              <w:rPr>
                <w:kern w:val="0"/>
                <w:szCs w:val="21"/>
              </w:rPr>
              <w:t>18</w:t>
            </w:r>
          </w:p>
        </w:tc>
        <w:tc>
          <w:tcPr>
            <w:tcW w:w="1701" w:type="dxa"/>
          </w:tcPr>
          <w:p>
            <w:pPr>
              <w:spacing w:line="600" w:lineRule="exact"/>
              <w:rPr>
                <w:kern w:val="0"/>
                <w:szCs w:val="21"/>
              </w:rPr>
            </w:pPr>
            <w:r>
              <w:rPr>
                <w:kern w:val="0"/>
                <w:szCs w:val="21"/>
              </w:rPr>
              <w:t>1.2</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2694" w:type="dxa"/>
          </w:tcPr>
          <w:p>
            <w:pPr>
              <w:autoSpaceDE w:val="0"/>
              <w:autoSpaceDN w:val="0"/>
              <w:adjustRightInd w:val="0"/>
              <w:spacing w:line="600" w:lineRule="exact"/>
              <w:jc w:val="left"/>
              <w:rPr>
                <w:kern w:val="0"/>
                <w:szCs w:val="21"/>
              </w:rPr>
            </w:pPr>
            <w:r>
              <w:rPr>
                <w:kern w:val="0"/>
                <w:szCs w:val="21"/>
              </w:rPr>
              <w:t>皮革、毛皮、羽毛及其制品和制鞋业</w:t>
            </w:r>
          </w:p>
        </w:tc>
        <w:tc>
          <w:tcPr>
            <w:tcW w:w="1134" w:type="dxa"/>
          </w:tcPr>
          <w:p>
            <w:pPr>
              <w:spacing w:line="600" w:lineRule="exact"/>
              <w:rPr>
                <w:kern w:val="0"/>
                <w:szCs w:val="21"/>
              </w:rPr>
            </w:pPr>
            <w:r>
              <w:rPr>
                <w:kern w:val="0"/>
                <w:szCs w:val="21"/>
              </w:rPr>
              <w:t>19</w:t>
            </w:r>
          </w:p>
        </w:tc>
        <w:tc>
          <w:tcPr>
            <w:tcW w:w="1701"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1.2</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2694" w:type="dxa"/>
          </w:tcPr>
          <w:p>
            <w:pPr>
              <w:autoSpaceDE w:val="0"/>
              <w:autoSpaceDN w:val="0"/>
              <w:adjustRightInd w:val="0"/>
              <w:spacing w:line="600" w:lineRule="exact"/>
              <w:jc w:val="left"/>
              <w:rPr>
                <w:kern w:val="0"/>
                <w:szCs w:val="21"/>
              </w:rPr>
            </w:pPr>
            <w:r>
              <w:rPr>
                <w:kern w:val="0"/>
                <w:szCs w:val="21"/>
              </w:rPr>
              <w:t>木材加工和木、竹、藤、棕、草制品业</w:t>
            </w:r>
          </w:p>
        </w:tc>
        <w:tc>
          <w:tcPr>
            <w:tcW w:w="1134" w:type="dxa"/>
          </w:tcPr>
          <w:p>
            <w:pPr>
              <w:spacing w:line="600" w:lineRule="exact"/>
              <w:rPr>
                <w:kern w:val="0"/>
                <w:szCs w:val="21"/>
              </w:rPr>
            </w:pPr>
            <w:r>
              <w:rPr>
                <w:kern w:val="0"/>
                <w:szCs w:val="21"/>
              </w:rPr>
              <w:t>20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家具制造业</w:t>
            </w:r>
          </w:p>
        </w:tc>
        <w:tc>
          <w:tcPr>
            <w:tcW w:w="1134" w:type="dxa"/>
          </w:tcPr>
          <w:p>
            <w:pPr>
              <w:spacing w:line="600" w:lineRule="exact"/>
              <w:rPr>
                <w:kern w:val="0"/>
                <w:szCs w:val="21"/>
              </w:rPr>
            </w:pPr>
            <w:r>
              <w:rPr>
                <w:kern w:val="0"/>
                <w:szCs w:val="21"/>
              </w:rPr>
              <w:t>21</w:t>
            </w:r>
          </w:p>
        </w:tc>
        <w:tc>
          <w:tcPr>
            <w:tcW w:w="1701" w:type="dxa"/>
          </w:tcPr>
          <w:p>
            <w:pPr>
              <w:spacing w:line="600" w:lineRule="exact"/>
              <w:rPr>
                <w:kern w:val="0"/>
                <w:szCs w:val="21"/>
              </w:rPr>
            </w:pPr>
            <w:r>
              <w:rPr>
                <w:kern w:val="0"/>
                <w:szCs w:val="21"/>
              </w:rPr>
              <w:t>1.2</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造纸和纸制品业</w:t>
            </w:r>
          </w:p>
        </w:tc>
        <w:tc>
          <w:tcPr>
            <w:tcW w:w="1134" w:type="dxa"/>
          </w:tcPr>
          <w:p>
            <w:pPr>
              <w:spacing w:line="600" w:lineRule="exact"/>
              <w:rPr>
                <w:kern w:val="0"/>
                <w:szCs w:val="21"/>
              </w:rPr>
            </w:pPr>
            <w:r>
              <w:rPr>
                <w:kern w:val="0"/>
                <w:szCs w:val="21"/>
              </w:rPr>
              <w:t>22</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印刷和记录媒介复制业</w:t>
            </w:r>
          </w:p>
        </w:tc>
        <w:tc>
          <w:tcPr>
            <w:tcW w:w="1134" w:type="dxa"/>
          </w:tcPr>
          <w:p>
            <w:pPr>
              <w:spacing w:line="600" w:lineRule="exact"/>
              <w:rPr>
                <w:kern w:val="0"/>
                <w:szCs w:val="21"/>
              </w:rPr>
            </w:pPr>
            <w:r>
              <w:rPr>
                <w:kern w:val="0"/>
                <w:szCs w:val="21"/>
              </w:rPr>
              <w:t>23</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autoSpaceDE w:val="0"/>
              <w:autoSpaceDN w:val="0"/>
              <w:adjustRightInd w:val="0"/>
              <w:spacing w:line="600" w:lineRule="exact"/>
              <w:jc w:val="left"/>
              <w:rPr>
                <w:kern w:val="0"/>
                <w:szCs w:val="21"/>
              </w:rPr>
            </w:pPr>
            <w:r>
              <w:rPr>
                <w:kern w:val="0"/>
                <w:szCs w:val="21"/>
              </w:rPr>
              <w:t>文教、工美、体育和娱乐用品制造业</w:t>
            </w:r>
          </w:p>
        </w:tc>
        <w:tc>
          <w:tcPr>
            <w:tcW w:w="1134" w:type="dxa"/>
          </w:tcPr>
          <w:p>
            <w:pPr>
              <w:spacing w:line="600" w:lineRule="exact"/>
              <w:rPr>
                <w:kern w:val="0"/>
                <w:szCs w:val="21"/>
              </w:rPr>
            </w:pPr>
            <w:r>
              <w:rPr>
                <w:kern w:val="0"/>
                <w:szCs w:val="21"/>
              </w:rPr>
              <w:t>24</w:t>
            </w:r>
          </w:p>
        </w:tc>
        <w:tc>
          <w:tcPr>
            <w:tcW w:w="1701"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1.2</w:t>
            </w:r>
          </w:p>
        </w:tc>
        <w:tc>
          <w:tcPr>
            <w:tcW w:w="1701" w:type="dxa"/>
          </w:tcPr>
          <w:p>
            <w:pPr>
              <w:spacing w:line="600" w:lineRule="exact"/>
              <w:rPr>
                <w:kern w:val="0"/>
                <w:szCs w:val="21"/>
              </w:rPr>
            </w:pPr>
            <w:r>
              <w:rPr>
                <w:kern w:val="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石油加工、炼焦和核燃料加工业</w:t>
            </w:r>
          </w:p>
        </w:tc>
        <w:tc>
          <w:tcPr>
            <w:tcW w:w="1134" w:type="dxa"/>
          </w:tcPr>
          <w:p>
            <w:pPr>
              <w:spacing w:line="600" w:lineRule="exact"/>
              <w:rPr>
                <w:kern w:val="0"/>
                <w:szCs w:val="21"/>
              </w:rPr>
            </w:pPr>
            <w:r>
              <w:rPr>
                <w:kern w:val="0"/>
                <w:szCs w:val="21"/>
              </w:rPr>
              <w:t>25</w:t>
            </w:r>
          </w:p>
        </w:tc>
        <w:tc>
          <w:tcPr>
            <w:tcW w:w="1701" w:type="dxa"/>
          </w:tcPr>
          <w:p>
            <w:pPr>
              <w:spacing w:line="600" w:lineRule="exact"/>
              <w:rPr>
                <w:kern w:val="0"/>
                <w:szCs w:val="21"/>
              </w:rPr>
            </w:pPr>
            <w:r>
              <w:rPr>
                <w:kern w:val="0"/>
                <w:szCs w:val="21"/>
              </w:rPr>
              <w:t>2.5</w:t>
            </w:r>
          </w:p>
        </w:tc>
        <w:tc>
          <w:tcPr>
            <w:tcW w:w="1701" w:type="dxa"/>
          </w:tcPr>
          <w:p>
            <w:pPr>
              <w:spacing w:line="600" w:lineRule="exact"/>
              <w:rPr>
                <w:kern w:val="0"/>
                <w:szCs w:val="21"/>
              </w:rPr>
            </w:pPr>
            <w:r>
              <w:rPr>
                <w:kern w:val="0"/>
                <w:szCs w:val="21"/>
              </w:rPr>
              <w:t>2.0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化学原料和化学制品制造业</w:t>
            </w:r>
          </w:p>
        </w:tc>
        <w:tc>
          <w:tcPr>
            <w:tcW w:w="1134" w:type="dxa"/>
          </w:tcPr>
          <w:p>
            <w:pPr>
              <w:spacing w:line="600" w:lineRule="exact"/>
              <w:rPr>
                <w:kern w:val="0"/>
                <w:szCs w:val="21"/>
              </w:rPr>
            </w:pPr>
            <w:r>
              <w:rPr>
                <w:kern w:val="0"/>
                <w:szCs w:val="21"/>
              </w:rPr>
              <w:t>26</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医药制造业</w:t>
            </w:r>
          </w:p>
        </w:tc>
        <w:tc>
          <w:tcPr>
            <w:tcW w:w="1134" w:type="dxa"/>
          </w:tcPr>
          <w:p>
            <w:pPr>
              <w:spacing w:line="600" w:lineRule="exact"/>
              <w:rPr>
                <w:kern w:val="0"/>
                <w:szCs w:val="21"/>
              </w:rPr>
            </w:pPr>
            <w:r>
              <w:rPr>
                <w:kern w:val="0"/>
                <w:szCs w:val="21"/>
              </w:rPr>
              <w:t>27</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化学纤维制造业</w:t>
            </w:r>
          </w:p>
        </w:tc>
        <w:tc>
          <w:tcPr>
            <w:tcW w:w="1134" w:type="dxa"/>
          </w:tcPr>
          <w:p>
            <w:pPr>
              <w:spacing w:line="600" w:lineRule="exact"/>
              <w:rPr>
                <w:kern w:val="0"/>
                <w:szCs w:val="21"/>
              </w:rPr>
            </w:pPr>
            <w:r>
              <w:rPr>
                <w:kern w:val="0"/>
                <w:szCs w:val="21"/>
              </w:rPr>
              <w:t>28</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橡胶和塑料制品业</w:t>
            </w:r>
          </w:p>
        </w:tc>
        <w:tc>
          <w:tcPr>
            <w:tcW w:w="1134" w:type="dxa"/>
          </w:tcPr>
          <w:p>
            <w:pPr>
              <w:spacing w:line="600" w:lineRule="exact"/>
              <w:rPr>
                <w:kern w:val="0"/>
                <w:szCs w:val="21"/>
              </w:rPr>
            </w:pPr>
            <w:r>
              <w:rPr>
                <w:kern w:val="0"/>
                <w:szCs w:val="21"/>
              </w:rPr>
              <w:t>29</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非金属矿物制品业</w:t>
            </w:r>
          </w:p>
        </w:tc>
        <w:tc>
          <w:tcPr>
            <w:tcW w:w="1134" w:type="dxa"/>
          </w:tcPr>
          <w:p>
            <w:pPr>
              <w:spacing w:line="600" w:lineRule="exact"/>
              <w:rPr>
                <w:kern w:val="0"/>
                <w:szCs w:val="21"/>
              </w:rPr>
            </w:pPr>
            <w:r>
              <w:rPr>
                <w:kern w:val="0"/>
                <w:szCs w:val="21"/>
              </w:rPr>
              <w:t>30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黑色金属冶炼和压延加工业</w:t>
            </w:r>
          </w:p>
        </w:tc>
        <w:tc>
          <w:tcPr>
            <w:tcW w:w="1134" w:type="dxa"/>
          </w:tcPr>
          <w:p>
            <w:pPr>
              <w:spacing w:line="600" w:lineRule="exact"/>
              <w:rPr>
                <w:kern w:val="0"/>
                <w:szCs w:val="21"/>
              </w:rPr>
            </w:pPr>
            <w:r>
              <w:rPr>
                <w:kern w:val="0"/>
                <w:szCs w:val="21"/>
              </w:rPr>
              <w:t>31</w:t>
            </w:r>
          </w:p>
        </w:tc>
        <w:tc>
          <w:tcPr>
            <w:tcW w:w="1701" w:type="dxa"/>
          </w:tcPr>
          <w:p>
            <w:pPr>
              <w:spacing w:line="600" w:lineRule="exact"/>
              <w:rPr>
                <w:kern w:val="0"/>
                <w:szCs w:val="21"/>
              </w:rPr>
            </w:pPr>
            <w:r>
              <w:rPr>
                <w:kern w:val="0"/>
                <w:szCs w:val="21"/>
              </w:rPr>
              <w:t>1.2</w:t>
            </w:r>
          </w:p>
        </w:tc>
        <w:tc>
          <w:tcPr>
            <w:tcW w:w="1701" w:type="dxa"/>
          </w:tcPr>
          <w:p>
            <w:pPr>
              <w:spacing w:line="600" w:lineRule="exact"/>
              <w:rPr>
                <w:kern w:val="0"/>
                <w:szCs w:val="21"/>
              </w:rPr>
            </w:pPr>
            <w:r>
              <w:rPr>
                <w:kern w:val="0"/>
                <w:szCs w:val="21"/>
              </w:rPr>
              <w:t>1.2</w:t>
            </w:r>
          </w:p>
        </w:tc>
        <w:tc>
          <w:tcPr>
            <w:tcW w:w="1701" w:type="dxa"/>
          </w:tcPr>
          <w:p>
            <w:pPr>
              <w:spacing w:line="600" w:lineRule="exact"/>
              <w:rPr>
                <w:kern w:val="0"/>
                <w:szCs w:val="21"/>
              </w:rPr>
            </w:pPr>
            <w:r>
              <w:rPr>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有色金属冶炼和压延加工业</w:t>
            </w:r>
          </w:p>
        </w:tc>
        <w:tc>
          <w:tcPr>
            <w:tcW w:w="1134" w:type="dxa"/>
          </w:tcPr>
          <w:p>
            <w:pPr>
              <w:spacing w:line="600" w:lineRule="exact"/>
              <w:rPr>
                <w:kern w:val="0"/>
                <w:szCs w:val="21"/>
              </w:rPr>
            </w:pPr>
            <w:r>
              <w:rPr>
                <w:kern w:val="0"/>
                <w:szCs w:val="21"/>
              </w:rPr>
              <w:t>32</w:t>
            </w:r>
          </w:p>
        </w:tc>
        <w:tc>
          <w:tcPr>
            <w:tcW w:w="1701" w:type="dxa"/>
          </w:tcPr>
          <w:p>
            <w:pPr>
              <w:spacing w:line="600" w:lineRule="exact"/>
              <w:rPr>
                <w:kern w:val="0"/>
                <w:szCs w:val="21"/>
              </w:rPr>
            </w:pPr>
            <w:r>
              <w:rPr>
                <w:kern w:val="0"/>
                <w:szCs w:val="21"/>
              </w:rPr>
              <w:t>1.2</w:t>
            </w:r>
          </w:p>
        </w:tc>
        <w:tc>
          <w:tcPr>
            <w:tcW w:w="1701" w:type="dxa"/>
          </w:tcPr>
          <w:p>
            <w:pPr>
              <w:spacing w:line="600" w:lineRule="exact"/>
              <w:rPr>
                <w:kern w:val="0"/>
                <w:szCs w:val="21"/>
              </w:rPr>
            </w:pPr>
            <w:r>
              <w:rPr>
                <w:kern w:val="0"/>
                <w:szCs w:val="21"/>
              </w:rPr>
              <w:t>1.2</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金属制品业</w:t>
            </w:r>
          </w:p>
        </w:tc>
        <w:tc>
          <w:tcPr>
            <w:tcW w:w="1134" w:type="dxa"/>
          </w:tcPr>
          <w:p>
            <w:pPr>
              <w:spacing w:line="600" w:lineRule="exact"/>
              <w:rPr>
                <w:kern w:val="0"/>
                <w:szCs w:val="21"/>
              </w:rPr>
            </w:pPr>
            <w:r>
              <w:rPr>
                <w:kern w:val="0"/>
                <w:szCs w:val="21"/>
              </w:rPr>
              <w:t>33</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通用设备制造业</w:t>
            </w:r>
          </w:p>
        </w:tc>
        <w:tc>
          <w:tcPr>
            <w:tcW w:w="1134" w:type="dxa"/>
          </w:tcPr>
          <w:p>
            <w:pPr>
              <w:spacing w:line="600" w:lineRule="exact"/>
              <w:rPr>
                <w:kern w:val="0"/>
                <w:szCs w:val="21"/>
              </w:rPr>
            </w:pPr>
            <w:r>
              <w:rPr>
                <w:kern w:val="0"/>
                <w:szCs w:val="21"/>
              </w:rPr>
              <w:t>34</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专用设备制造业</w:t>
            </w:r>
          </w:p>
        </w:tc>
        <w:tc>
          <w:tcPr>
            <w:tcW w:w="1134" w:type="dxa"/>
          </w:tcPr>
          <w:p>
            <w:pPr>
              <w:spacing w:line="600" w:lineRule="exact"/>
              <w:rPr>
                <w:kern w:val="0"/>
                <w:szCs w:val="21"/>
              </w:rPr>
            </w:pPr>
            <w:r>
              <w:rPr>
                <w:kern w:val="0"/>
                <w:szCs w:val="21"/>
              </w:rPr>
              <w:t>35</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汽车制造业</w:t>
            </w:r>
          </w:p>
        </w:tc>
        <w:tc>
          <w:tcPr>
            <w:tcW w:w="1134" w:type="dxa"/>
          </w:tcPr>
          <w:p>
            <w:pPr>
              <w:spacing w:line="600" w:lineRule="exact"/>
              <w:rPr>
                <w:kern w:val="0"/>
                <w:szCs w:val="21"/>
              </w:rPr>
            </w:pPr>
            <w:r>
              <w:rPr>
                <w:kern w:val="0"/>
                <w:szCs w:val="21"/>
              </w:rPr>
              <w:t>36</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autoSpaceDE w:val="0"/>
              <w:autoSpaceDN w:val="0"/>
              <w:adjustRightInd w:val="0"/>
              <w:spacing w:line="600" w:lineRule="exact"/>
              <w:jc w:val="left"/>
              <w:rPr>
                <w:kern w:val="0"/>
                <w:szCs w:val="21"/>
              </w:rPr>
            </w:pPr>
            <w:r>
              <w:rPr>
                <w:kern w:val="0"/>
                <w:szCs w:val="21"/>
              </w:rPr>
              <w:t>铁路、船舶、航空航天和其他运输设备制造业</w:t>
            </w:r>
          </w:p>
        </w:tc>
        <w:tc>
          <w:tcPr>
            <w:tcW w:w="1134" w:type="dxa"/>
          </w:tcPr>
          <w:p>
            <w:pPr>
              <w:spacing w:line="600" w:lineRule="exact"/>
              <w:rPr>
                <w:kern w:val="0"/>
                <w:szCs w:val="21"/>
              </w:rPr>
            </w:pPr>
            <w:r>
              <w:rPr>
                <w:kern w:val="0"/>
                <w:szCs w:val="21"/>
              </w:rPr>
              <w:t>37</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电气机械和器材制造业</w:t>
            </w:r>
          </w:p>
        </w:tc>
        <w:tc>
          <w:tcPr>
            <w:tcW w:w="1134" w:type="dxa"/>
          </w:tcPr>
          <w:p>
            <w:pPr>
              <w:spacing w:line="600" w:lineRule="exact"/>
              <w:rPr>
                <w:kern w:val="0"/>
                <w:szCs w:val="21"/>
              </w:rPr>
            </w:pPr>
            <w:r>
              <w:rPr>
                <w:kern w:val="0"/>
                <w:szCs w:val="21"/>
              </w:rPr>
              <w:t>38</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autoSpaceDE w:val="0"/>
              <w:autoSpaceDN w:val="0"/>
              <w:adjustRightInd w:val="0"/>
              <w:spacing w:line="600" w:lineRule="exact"/>
              <w:jc w:val="left"/>
              <w:rPr>
                <w:kern w:val="0"/>
                <w:szCs w:val="21"/>
              </w:rPr>
            </w:pPr>
            <w:r>
              <w:rPr>
                <w:kern w:val="0"/>
                <w:szCs w:val="21"/>
              </w:rPr>
              <w:t>计算机、通信和其他电子设备制造业</w:t>
            </w:r>
          </w:p>
        </w:tc>
        <w:tc>
          <w:tcPr>
            <w:tcW w:w="1134" w:type="dxa"/>
          </w:tcPr>
          <w:p>
            <w:pPr>
              <w:spacing w:line="600" w:lineRule="exact"/>
              <w:rPr>
                <w:kern w:val="0"/>
                <w:szCs w:val="21"/>
              </w:rPr>
            </w:pPr>
            <w:r>
              <w:rPr>
                <w:kern w:val="0"/>
                <w:szCs w:val="21"/>
              </w:rPr>
              <w:t>39</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仪器仪表制造业</w:t>
            </w:r>
          </w:p>
        </w:tc>
        <w:tc>
          <w:tcPr>
            <w:tcW w:w="1134" w:type="dxa"/>
          </w:tcPr>
          <w:p>
            <w:pPr>
              <w:spacing w:line="600" w:lineRule="exact"/>
              <w:rPr>
                <w:kern w:val="0"/>
                <w:szCs w:val="21"/>
              </w:rPr>
            </w:pPr>
            <w:r>
              <w:rPr>
                <w:kern w:val="0"/>
                <w:szCs w:val="21"/>
              </w:rPr>
              <w:t>40</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0.8</w:t>
            </w:r>
          </w:p>
        </w:tc>
        <w:tc>
          <w:tcPr>
            <w:tcW w:w="1701" w:type="dxa"/>
          </w:tcPr>
          <w:p>
            <w:pPr>
              <w:spacing w:line="600" w:lineRule="exact"/>
              <w:rPr>
                <w:kern w:val="0"/>
                <w:szCs w:val="21"/>
              </w:rPr>
            </w:pPr>
            <w:r>
              <w:rPr>
                <w:kern w:val="0"/>
                <w:szCs w:val="2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电力、热力生产和供应业</w:t>
            </w:r>
          </w:p>
        </w:tc>
        <w:tc>
          <w:tcPr>
            <w:tcW w:w="1134" w:type="dxa"/>
          </w:tcPr>
          <w:p>
            <w:pPr>
              <w:spacing w:line="600" w:lineRule="exact"/>
              <w:rPr>
                <w:kern w:val="0"/>
                <w:szCs w:val="21"/>
              </w:rPr>
            </w:pPr>
            <w:r>
              <w:rPr>
                <w:kern w:val="0"/>
                <w:szCs w:val="21"/>
              </w:rPr>
              <w:t>44</w:t>
            </w:r>
          </w:p>
        </w:tc>
        <w:tc>
          <w:tcPr>
            <w:tcW w:w="1701" w:type="dxa"/>
          </w:tcPr>
          <w:p>
            <w:pPr>
              <w:spacing w:line="600" w:lineRule="exact"/>
              <w:rPr>
                <w:kern w:val="0"/>
                <w:szCs w:val="21"/>
              </w:rPr>
            </w:pPr>
            <w:r>
              <w:rPr>
                <w:kern w:val="0"/>
                <w:szCs w:val="21"/>
              </w:rPr>
              <w:t>2.5</w:t>
            </w:r>
          </w:p>
        </w:tc>
        <w:tc>
          <w:tcPr>
            <w:tcW w:w="1701" w:type="dxa"/>
          </w:tcPr>
          <w:p>
            <w:pPr>
              <w:spacing w:line="600" w:lineRule="exact"/>
              <w:rPr>
                <w:kern w:val="0"/>
                <w:szCs w:val="21"/>
              </w:rPr>
            </w:pPr>
            <w:r>
              <w:rPr>
                <w:kern w:val="0"/>
                <w:szCs w:val="21"/>
              </w:rPr>
              <w:t>3.0</w:t>
            </w:r>
          </w:p>
        </w:tc>
        <w:tc>
          <w:tcPr>
            <w:tcW w:w="1701" w:type="dxa"/>
          </w:tcPr>
          <w:p>
            <w:pPr>
              <w:spacing w:line="600" w:lineRule="exact"/>
              <w:rPr>
                <w:kern w:val="0"/>
                <w:szCs w:val="21"/>
              </w:rPr>
            </w:pPr>
            <w:r>
              <w:rPr>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房屋建筑业</w:t>
            </w:r>
          </w:p>
        </w:tc>
        <w:tc>
          <w:tcPr>
            <w:tcW w:w="1134" w:type="dxa"/>
          </w:tcPr>
          <w:p>
            <w:pPr>
              <w:spacing w:line="600" w:lineRule="exact"/>
              <w:rPr>
                <w:kern w:val="0"/>
                <w:szCs w:val="21"/>
              </w:rPr>
            </w:pPr>
            <w:r>
              <w:rPr>
                <w:kern w:val="0"/>
                <w:szCs w:val="21"/>
              </w:rPr>
              <w:t>47</w:t>
            </w:r>
          </w:p>
        </w:tc>
        <w:tc>
          <w:tcPr>
            <w:tcW w:w="1701" w:type="dxa"/>
          </w:tcPr>
          <w:p>
            <w:pPr>
              <w:spacing w:line="600" w:lineRule="exact"/>
              <w:rPr>
                <w:kern w:val="0"/>
                <w:szCs w:val="21"/>
              </w:rPr>
            </w:pPr>
            <w:r>
              <w:rPr>
                <w:kern w:val="0"/>
                <w:szCs w:val="21"/>
              </w:rPr>
              <w:t>2.0</w:t>
            </w:r>
          </w:p>
        </w:tc>
        <w:tc>
          <w:tcPr>
            <w:tcW w:w="1701"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土木工程建筑业</w:t>
            </w:r>
          </w:p>
        </w:tc>
        <w:tc>
          <w:tcPr>
            <w:tcW w:w="1134" w:type="dxa"/>
          </w:tcPr>
          <w:p>
            <w:pPr>
              <w:spacing w:line="600" w:lineRule="exact"/>
              <w:rPr>
                <w:kern w:val="0"/>
                <w:szCs w:val="21"/>
              </w:rPr>
            </w:pPr>
            <w:r>
              <w:rPr>
                <w:kern w:val="0"/>
                <w:szCs w:val="21"/>
              </w:rPr>
              <w:t>48</w:t>
            </w:r>
          </w:p>
        </w:tc>
        <w:tc>
          <w:tcPr>
            <w:tcW w:w="1701" w:type="dxa"/>
          </w:tcPr>
          <w:p>
            <w:pPr>
              <w:spacing w:line="600" w:lineRule="exact"/>
              <w:rPr>
                <w:kern w:val="0"/>
                <w:szCs w:val="21"/>
              </w:rPr>
            </w:pPr>
            <w:r>
              <w:rPr>
                <w:kern w:val="0"/>
                <w:szCs w:val="21"/>
              </w:rPr>
              <w:t>2.0</w:t>
            </w:r>
          </w:p>
        </w:tc>
        <w:tc>
          <w:tcPr>
            <w:tcW w:w="1701"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建筑安装业</w:t>
            </w:r>
          </w:p>
        </w:tc>
        <w:tc>
          <w:tcPr>
            <w:tcW w:w="1134" w:type="dxa"/>
          </w:tcPr>
          <w:p>
            <w:pPr>
              <w:spacing w:line="600" w:lineRule="exact"/>
              <w:rPr>
                <w:kern w:val="0"/>
                <w:szCs w:val="21"/>
              </w:rPr>
            </w:pPr>
            <w:r>
              <w:rPr>
                <w:kern w:val="0"/>
                <w:szCs w:val="21"/>
              </w:rPr>
              <w:t>49</w:t>
            </w:r>
          </w:p>
        </w:tc>
        <w:tc>
          <w:tcPr>
            <w:tcW w:w="1701" w:type="dxa"/>
          </w:tcPr>
          <w:p>
            <w:pPr>
              <w:spacing w:line="600" w:lineRule="exact"/>
              <w:rPr>
                <w:kern w:val="0"/>
                <w:szCs w:val="21"/>
              </w:rPr>
            </w:pPr>
            <w:r>
              <w:rPr>
                <w:kern w:val="0"/>
                <w:szCs w:val="21"/>
              </w:rPr>
              <w:t>2.0</w:t>
            </w:r>
          </w:p>
        </w:tc>
        <w:tc>
          <w:tcPr>
            <w:tcW w:w="1701"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软件和信息技术服务业</w:t>
            </w:r>
          </w:p>
        </w:tc>
        <w:tc>
          <w:tcPr>
            <w:tcW w:w="1134" w:type="dxa"/>
          </w:tcPr>
          <w:p>
            <w:pPr>
              <w:spacing w:line="600" w:lineRule="exact"/>
              <w:rPr>
                <w:kern w:val="0"/>
                <w:szCs w:val="21"/>
              </w:rPr>
            </w:pPr>
            <w:r>
              <w:rPr>
                <w:kern w:val="0"/>
                <w:szCs w:val="21"/>
              </w:rPr>
              <w:t>65</w:t>
            </w:r>
          </w:p>
        </w:tc>
        <w:tc>
          <w:tcPr>
            <w:tcW w:w="1701" w:type="dxa"/>
          </w:tcPr>
          <w:p>
            <w:pPr>
              <w:spacing w:line="600" w:lineRule="exact"/>
              <w:rPr>
                <w:kern w:val="0"/>
                <w:szCs w:val="21"/>
              </w:rPr>
            </w:pPr>
            <w:r>
              <w:rPr>
                <w:kern w:val="0"/>
                <w:szCs w:val="21"/>
              </w:rPr>
              <w:t>0.6</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专业技术服务业</w:t>
            </w:r>
          </w:p>
        </w:tc>
        <w:tc>
          <w:tcPr>
            <w:tcW w:w="1134" w:type="dxa"/>
          </w:tcPr>
          <w:p>
            <w:pPr>
              <w:spacing w:line="600" w:lineRule="exact"/>
              <w:rPr>
                <w:kern w:val="0"/>
                <w:szCs w:val="21"/>
              </w:rPr>
            </w:pPr>
            <w:r>
              <w:rPr>
                <w:kern w:val="0"/>
                <w:szCs w:val="21"/>
              </w:rPr>
              <w:t>74</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c>
          <w:tcPr>
            <w:tcW w:w="1701" w:type="dxa"/>
          </w:tcPr>
          <w:p>
            <w:pPr>
              <w:spacing w:line="600" w:lineRule="exact"/>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pPr>
              <w:spacing w:line="600" w:lineRule="exact"/>
              <w:rPr>
                <w:kern w:val="0"/>
                <w:szCs w:val="21"/>
              </w:rPr>
            </w:pPr>
            <w:r>
              <w:rPr>
                <w:kern w:val="0"/>
                <w:szCs w:val="21"/>
              </w:rPr>
              <w:t>其他</w:t>
            </w:r>
          </w:p>
        </w:tc>
        <w:tc>
          <w:tcPr>
            <w:tcW w:w="1134" w:type="dxa"/>
          </w:tcPr>
          <w:p>
            <w:pPr>
              <w:spacing w:line="600" w:lineRule="exact"/>
              <w:rPr>
                <w:kern w:val="0"/>
                <w:szCs w:val="21"/>
              </w:rPr>
            </w:pPr>
            <w:r>
              <w:rPr>
                <w:kern w:val="0"/>
                <w:szCs w:val="21"/>
              </w:rPr>
              <w:t>81</w:t>
            </w:r>
          </w:p>
        </w:tc>
        <w:tc>
          <w:tcPr>
            <w:tcW w:w="1701"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1.5</w:t>
            </w:r>
          </w:p>
        </w:tc>
        <w:tc>
          <w:tcPr>
            <w:tcW w:w="1701" w:type="dxa"/>
          </w:tcPr>
          <w:p>
            <w:pPr>
              <w:spacing w:line="600" w:lineRule="exact"/>
              <w:rPr>
                <w:kern w:val="0"/>
                <w:szCs w:val="21"/>
              </w:rPr>
            </w:pPr>
            <w:r>
              <w:rPr>
                <w:kern w:val="0"/>
                <w:szCs w:val="21"/>
              </w:rPr>
              <w:t>1.0</w:t>
            </w:r>
          </w:p>
        </w:tc>
      </w:tr>
    </w:tbl>
    <w:p>
      <w:pPr>
        <w:autoSpaceDE w:val="0"/>
        <w:autoSpaceDN w:val="0"/>
        <w:adjustRightInd w:val="0"/>
        <w:spacing w:line="600" w:lineRule="exact"/>
        <w:ind w:firstLine="672" w:firstLineChars="221"/>
        <w:jc w:val="left"/>
        <w:rPr>
          <w:kern w:val="0"/>
          <w:szCs w:val="32"/>
        </w:rPr>
      </w:pPr>
      <w:r>
        <w:rPr>
          <w:kern w:val="0"/>
          <w:szCs w:val="32"/>
        </w:rPr>
        <w:t>说明：</w:t>
      </w:r>
    </w:p>
    <w:p>
      <w:pPr>
        <w:autoSpaceDE w:val="0"/>
        <w:autoSpaceDN w:val="0"/>
        <w:adjustRightInd w:val="0"/>
        <w:spacing w:line="600" w:lineRule="exact"/>
        <w:ind w:firstLine="672" w:firstLineChars="221"/>
        <w:jc w:val="left"/>
        <w:rPr>
          <w:kern w:val="0"/>
          <w:szCs w:val="32"/>
        </w:rPr>
      </w:pPr>
      <w:r>
        <w:rPr>
          <w:kern w:val="0"/>
          <w:szCs w:val="32"/>
        </w:rPr>
        <w:t>1.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pPr>
        <w:autoSpaceDE w:val="0"/>
        <w:autoSpaceDN w:val="0"/>
        <w:adjustRightInd w:val="0"/>
        <w:spacing w:line="600" w:lineRule="exact"/>
        <w:ind w:firstLine="672" w:firstLineChars="221"/>
        <w:jc w:val="left"/>
        <w:rPr>
          <w:kern w:val="0"/>
          <w:szCs w:val="32"/>
        </w:rPr>
      </w:pPr>
      <w:r>
        <w:rPr>
          <w:kern w:val="0"/>
          <w:szCs w:val="32"/>
        </w:rPr>
        <w:t>2.行业系数采用国家技术中心评价标准设立的行业系数。</w:t>
      </w:r>
    </w:p>
    <w:p>
      <w:pPr>
        <w:autoSpaceDE w:val="0"/>
        <w:autoSpaceDN w:val="0"/>
        <w:adjustRightInd w:val="0"/>
        <w:spacing w:line="600" w:lineRule="exact"/>
        <w:ind w:firstLine="672" w:firstLineChars="221"/>
        <w:jc w:val="left"/>
        <w:rPr>
          <w:kern w:val="0"/>
          <w:szCs w:val="32"/>
        </w:rPr>
      </w:pPr>
      <w:r>
        <w:rPr>
          <w:kern w:val="0"/>
          <w:szCs w:val="32"/>
        </w:rPr>
        <w:t>3.行业系数只作为第三方评估机构评价时使用，企业填报时无需考虑行业系数，按实际数据填报。评价时，根据企业填报的实际数据计算得出上述指标的比重，再乘以行业系数，得出指标的评价值。</w:t>
      </w:r>
    </w:p>
    <w:p>
      <w:pPr>
        <w:autoSpaceDE w:val="0"/>
        <w:autoSpaceDN w:val="0"/>
        <w:adjustRightInd w:val="0"/>
        <w:spacing w:line="600" w:lineRule="exact"/>
        <w:ind w:firstLine="672" w:firstLineChars="221"/>
        <w:jc w:val="left"/>
        <w:rPr>
          <w:kern w:val="0"/>
          <w:szCs w:val="32"/>
        </w:rPr>
      </w:pPr>
      <w:r>
        <w:rPr>
          <w:kern w:val="0"/>
          <w:szCs w:val="32"/>
        </w:rPr>
        <w:t>4.行业系数表中的“其他”行业包括“交通运输、仓储和邮政业”、“文化、体育和娱乐业”等行业。</w:t>
      </w:r>
    </w:p>
    <w:p>
      <w:pPr>
        <w:spacing w:line="600" w:lineRule="exact"/>
        <w:ind w:firstLine="672" w:firstLineChars="221"/>
        <w:rPr>
          <w:rFonts w:eastAsia="黑体"/>
          <w:kern w:val="0"/>
          <w:szCs w:val="32"/>
        </w:rPr>
      </w:pPr>
    </w:p>
    <w:p>
      <w:pPr>
        <w:spacing w:line="600" w:lineRule="exact"/>
        <w:ind w:firstLine="672" w:firstLineChars="221"/>
        <w:rPr>
          <w:rFonts w:eastAsia="黑体"/>
          <w:kern w:val="0"/>
          <w:szCs w:val="32"/>
        </w:rPr>
      </w:pPr>
      <w:bookmarkStart w:id="0" w:name="_GoBack"/>
      <w:bookmarkEnd w:id="0"/>
      <w:r>
        <w:rPr>
          <w:rFonts w:eastAsia="黑体"/>
          <w:kern w:val="0"/>
          <w:szCs w:val="32"/>
        </w:rPr>
        <w:t>四、限定性指标的最低标准</w:t>
      </w:r>
    </w:p>
    <w:p>
      <w:pPr>
        <w:spacing w:line="600" w:lineRule="exact"/>
        <w:ind w:firstLine="672" w:firstLineChars="221"/>
        <w:rPr>
          <w:kern w:val="0"/>
          <w:szCs w:val="32"/>
        </w:rPr>
      </w:pPr>
      <w:r>
        <w:rPr>
          <w:kern w:val="0"/>
          <w:szCs w:val="32"/>
        </w:rPr>
        <w:t>1.年度研究与试验发展经费支出额不低于300万元。</w:t>
      </w:r>
    </w:p>
    <w:p>
      <w:pPr>
        <w:spacing w:line="600" w:lineRule="exact"/>
        <w:ind w:firstLine="672" w:firstLineChars="221"/>
        <w:rPr>
          <w:kern w:val="0"/>
          <w:szCs w:val="32"/>
        </w:rPr>
      </w:pPr>
      <w:r>
        <w:rPr>
          <w:kern w:val="0"/>
          <w:szCs w:val="32"/>
        </w:rPr>
        <w:t>2.年度研究与试验发展人员数不少于30人。</w:t>
      </w:r>
    </w:p>
    <w:p>
      <w:pPr>
        <w:spacing w:line="600" w:lineRule="exact"/>
        <w:ind w:firstLine="672" w:firstLineChars="221"/>
        <w:rPr>
          <w:kern w:val="0"/>
          <w:szCs w:val="32"/>
        </w:rPr>
      </w:pPr>
      <w:r>
        <w:rPr>
          <w:kern w:val="0"/>
          <w:szCs w:val="32"/>
        </w:rPr>
        <w:t>3.年度技术开发仪器设备原值不低于300万元。</w:t>
      </w:r>
    </w:p>
    <w:p>
      <w:pPr>
        <w:spacing w:line="600" w:lineRule="exact"/>
        <w:ind w:firstLine="672" w:firstLineChars="221"/>
        <w:rPr>
          <w:kern w:val="0"/>
          <w:szCs w:val="32"/>
        </w:rPr>
      </w:pPr>
      <w:r>
        <w:rPr>
          <w:rFonts w:eastAsia="黑体"/>
          <w:kern w:val="0"/>
          <w:szCs w:val="32"/>
        </w:rPr>
        <w:t>五、新业态企业指：</w:t>
      </w:r>
      <w:r>
        <w:rPr>
          <w:kern w:val="0"/>
          <w:szCs w:val="32"/>
        </w:rPr>
        <w:t>区别于实体企业，主要从事技术开发、服务，互联网+应用，新兴产业发展企业。</w:t>
      </w:r>
    </w:p>
    <w:p/>
    <w:p>
      <w:pPr>
        <w:widowControl/>
        <w:spacing w:line="600" w:lineRule="exact"/>
        <w:ind w:firstLine="169" w:firstLineChars="87"/>
        <w:rPr>
          <w:kern w:val="0"/>
          <w:szCs w:val="32"/>
        </w:rPr>
      </w:pPr>
      <w:r>
        <w:rPr>
          <w:sz w:val="21"/>
          <w:szCs w:val="22"/>
        </w:rPr>
        <mc:AlternateContent>
          <mc:Choice Requires="wps">
            <w:drawing>
              <wp:anchor distT="0" distB="0" distL="114300" distR="114300" simplePos="0" relativeHeight="251658240" behindDoc="1" locked="0" layoutInCell="1" allowOverlap="1">
                <wp:simplePos x="0" y="0"/>
                <wp:positionH relativeFrom="column">
                  <wp:posOffset>3327400</wp:posOffset>
                </wp:positionH>
                <wp:positionV relativeFrom="paragraph">
                  <wp:posOffset>8142605</wp:posOffset>
                </wp:positionV>
                <wp:extent cx="1980565" cy="68834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980565" cy="688340"/>
                        </a:xfrm>
                        <a:prstGeom prst="rect">
                          <a:avLst/>
                        </a:prstGeom>
                        <a:noFill/>
                        <a:ln w="9525">
                          <a:noFill/>
                        </a:ln>
                      </wps:spPr>
                      <wps:txbx>
                        <w:txbxContent>
                          <w:p>
                            <w:r>
                              <w:drawing>
                                <wp:inline distT="0" distB="0" distL="114300" distR="114300">
                                  <wp:extent cx="1800225" cy="533400"/>
                                  <wp:effectExtent l="0" t="0" r="0" b="0"/>
                                  <wp:docPr id="2" name="图片 1" descr="labeloc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abelocxtemp"/>
                                          <pic:cNvPicPr>
                                            <a:picLocks noChangeAspect="1"/>
                                          </pic:cNvPicPr>
                                        </pic:nvPicPr>
                                        <pic:blipFill>
                                          <a:blip/>
                                        </pic:blipFill>
                                        <pic:spPr>
                                          <a:xfrm>
                                            <a:off x="0" y="0"/>
                                            <a:ext cx="1800225" cy="533400"/>
                                          </a:xfrm>
                                          <a:prstGeom prst="rect">
                                            <a:avLst/>
                                          </a:prstGeom>
                                          <a:noFill/>
                                          <a:ln w="9525">
                                            <a:noFill/>
                                          </a:ln>
                                        </pic:spPr>
                                      </pic:pic>
                                    </a:graphicData>
                                  </a:graphic>
                                </wp:inline>
                              </w:drawing>
                            </w:r>
                          </w:p>
                        </w:txbxContent>
                      </wps:txbx>
                      <wps:bodyPr wrap="none" lIns="90043" tIns="46863" rIns="90043" bIns="46863" upright="1">
                        <a:spAutoFit/>
                      </wps:bodyPr>
                    </wps:wsp>
                  </a:graphicData>
                </a:graphic>
              </wp:anchor>
            </w:drawing>
          </mc:Choice>
          <mc:Fallback>
            <w:pict>
              <v:shape id="文本框 6" o:spid="_x0000_s1026" o:spt="202" type="#_x0000_t202" style="position:absolute;left:0pt;margin-left:262pt;margin-top:641.15pt;height:54.2pt;width:155.95pt;mso-wrap-style:none;z-index:-251658240;mso-width-relative:page;mso-height-relative:page;" filled="f" stroked="f" coordsize="21600,21600" o:gfxdata="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9dLe1wAAAA0BAAAPAAAAAAAAAAEAIAAAACIAAABkcnMvZG93bnJl&#10;di54bWxQSwECFAAUAAAACACHTuJAOsqDUMUBAABjAwAADgAAAAAAAAABACAAAAAmAQAAZHJzL2Uy&#10;b0RvYy54bWxQSwUGAAAAAAYABgBZAQAAXQUAAAAA&#10;">
                <v:fill on="f" focussize="0,0"/>
                <v:stroke on="f"/>
                <v:imagedata o:title=""/>
                <o:lock v:ext="edit" aspectratio="f"/>
                <v:textbox inset="7.09pt,1.30175mm,7.09pt,1.30175mm" style="mso-fit-shape-to-text:t;">
                  <w:txbxContent>
                    <w:p>
                      <w:r>
                        <w:drawing>
                          <wp:inline distT="0" distB="0" distL="114300" distR="114300">
                            <wp:extent cx="1800225" cy="533400"/>
                            <wp:effectExtent l="0" t="0" r="0" b="0"/>
                            <wp:docPr id="2" name="图片 1" descr="labeloc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abelocxtemp"/>
                                    <pic:cNvPicPr>
                                      <a:picLocks noChangeAspect="1"/>
                                    </pic:cNvPicPr>
                                  </pic:nvPicPr>
                                  <pic:blipFill>
                                    <a:blip/>
                                  </pic:blipFill>
                                  <pic:spPr>
                                    <a:xfrm>
                                      <a:off x="0" y="0"/>
                                      <a:ext cx="1800225" cy="533400"/>
                                    </a:xfrm>
                                    <a:prstGeom prst="rect">
                                      <a:avLst/>
                                    </a:prstGeom>
                                    <a:noFill/>
                                    <a:ln w="9525">
                                      <a:noFill/>
                                    </a:ln>
                                  </pic:spPr>
                                </pic:pic>
                              </a:graphicData>
                            </a:graphic>
                          </wp:inline>
                        </w:drawing>
                      </w:r>
                    </w:p>
                  </w:txbxContent>
                </v:textbox>
              </v:shape>
            </w:pict>
          </mc:Fallback>
        </mc:AlternateContent>
      </w:r>
    </w:p>
    <w:sectPr>
      <w:footerReference r:id="rId3" w:type="default"/>
      <w:footerReference r:id="rId4" w:type="even"/>
      <w:pgSz w:w="11906" w:h="16838"/>
      <w:pgMar w:top="1418" w:right="1474" w:bottom="1418" w:left="1588" w:header="851" w:footer="1134" w:gutter="0"/>
      <w:pgNumType w:fmt="numberInDash"/>
      <w:cols w:space="425" w:num="1"/>
      <w:docGrid w:type="linesAndChars" w:linePitch="597"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2"/>
  <w:drawingGridVerticalSpacing w:val="5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1F523EE-81A6-4159-B9E5-83D1DE18AA19}" w:val="wSWT/A9pq+hOv4Qy1MmrF5zanKILGRlNYgHcBt8Ub=7kDx63VE2f0jeiXPCJsdouZ"/>
    <w:docVar w:name="DocumentID" w:val="{2976A41F-80AE-4E91-A673-26CA750D4FF8}"/>
  </w:docVars>
  <w:rsids>
    <w:rsidRoot w:val="006901E3"/>
    <w:rsid w:val="00004E07"/>
    <w:rsid w:val="00026720"/>
    <w:rsid w:val="000307C7"/>
    <w:rsid w:val="0003327D"/>
    <w:rsid w:val="00066FFF"/>
    <w:rsid w:val="00073412"/>
    <w:rsid w:val="00084F84"/>
    <w:rsid w:val="00085529"/>
    <w:rsid w:val="000A6DD5"/>
    <w:rsid w:val="000C22CC"/>
    <w:rsid w:val="00116AAF"/>
    <w:rsid w:val="00125257"/>
    <w:rsid w:val="001372F6"/>
    <w:rsid w:val="0014396E"/>
    <w:rsid w:val="00144739"/>
    <w:rsid w:val="00156D2B"/>
    <w:rsid w:val="00164CB9"/>
    <w:rsid w:val="00191440"/>
    <w:rsid w:val="00194C6A"/>
    <w:rsid w:val="001C77FD"/>
    <w:rsid w:val="00207D4C"/>
    <w:rsid w:val="0021203C"/>
    <w:rsid w:val="002178DD"/>
    <w:rsid w:val="00242DDC"/>
    <w:rsid w:val="0025321D"/>
    <w:rsid w:val="00265D4C"/>
    <w:rsid w:val="00272DA1"/>
    <w:rsid w:val="0029063C"/>
    <w:rsid w:val="002B55B3"/>
    <w:rsid w:val="002C0AAF"/>
    <w:rsid w:val="002D6339"/>
    <w:rsid w:val="002F2C24"/>
    <w:rsid w:val="002F3B98"/>
    <w:rsid w:val="003040C2"/>
    <w:rsid w:val="00311B59"/>
    <w:rsid w:val="003241DF"/>
    <w:rsid w:val="003322EC"/>
    <w:rsid w:val="003521F1"/>
    <w:rsid w:val="0036563A"/>
    <w:rsid w:val="00371F11"/>
    <w:rsid w:val="003D1BE0"/>
    <w:rsid w:val="003E572B"/>
    <w:rsid w:val="00434794"/>
    <w:rsid w:val="004349BB"/>
    <w:rsid w:val="004448AA"/>
    <w:rsid w:val="00450910"/>
    <w:rsid w:val="00487736"/>
    <w:rsid w:val="00491DA1"/>
    <w:rsid w:val="004B2FE8"/>
    <w:rsid w:val="004B36E2"/>
    <w:rsid w:val="004B3AD3"/>
    <w:rsid w:val="004B4B8A"/>
    <w:rsid w:val="004C6B3E"/>
    <w:rsid w:val="005251BC"/>
    <w:rsid w:val="00541EAB"/>
    <w:rsid w:val="005427C2"/>
    <w:rsid w:val="005602FF"/>
    <w:rsid w:val="00582386"/>
    <w:rsid w:val="005826FE"/>
    <w:rsid w:val="0058702C"/>
    <w:rsid w:val="005963AC"/>
    <w:rsid w:val="005A1012"/>
    <w:rsid w:val="005B0C17"/>
    <w:rsid w:val="005C4F07"/>
    <w:rsid w:val="006003FA"/>
    <w:rsid w:val="00610532"/>
    <w:rsid w:val="00612035"/>
    <w:rsid w:val="00632808"/>
    <w:rsid w:val="006829AF"/>
    <w:rsid w:val="006901E3"/>
    <w:rsid w:val="006D7626"/>
    <w:rsid w:val="00710FBF"/>
    <w:rsid w:val="00727BD3"/>
    <w:rsid w:val="00731ED8"/>
    <w:rsid w:val="00731FB5"/>
    <w:rsid w:val="0073219C"/>
    <w:rsid w:val="00757C85"/>
    <w:rsid w:val="00793C5C"/>
    <w:rsid w:val="007970A0"/>
    <w:rsid w:val="007E7317"/>
    <w:rsid w:val="008127DB"/>
    <w:rsid w:val="008245DA"/>
    <w:rsid w:val="00832A85"/>
    <w:rsid w:val="008440D7"/>
    <w:rsid w:val="00873383"/>
    <w:rsid w:val="008930D5"/>
    <w:rsid w:val="00893A5E"/>
    <w:rsid w:val="00893E13"/>
    <w:rsid w:val="008B084A"/>
    <w:rsid w:val="008D74C0"/>
    <w:rsid w:val="00907A9F"/>
    <w:rsid w:val="0093551C"/>
    <w:rsid w:val="009568B9"/>
    <w:rsid w:val="00963D19"/>
    <w:rsid w:val="009A7B9D"/>
    <w:rsid w:val="009B5C38"/>
    <w:rsid w:val="009D379C"/>
    <w:rsid w:val="009F0287"/>
    <w:rsid w:val="00A06E50"/>
    <w:rsid w:val="00A111CD"/>
    <w:rsid w:val="00A117C9"/>
    <w:rsid w:val="00A46D38"/>
    <w:rsid w:val="00A82D1A"/>
    <w:rsid w:val="00A956BE"/>
    <w:rsid w:val="00AB2BF7"/>
    <w:rsid w:val="00AD7372"/>
    <w:rsid w:val="00B0709F"/>
    <w:rsid w:val="00B1559E"/>
    <w:rsid w:val="00B27ABB"/>
    <w:rsid w:val="00B66A8B"/>
    <w:rsid w:val="00B76A39"/>
    <w:rsid w:val="00B967DB"/>
    <w:rsid w:val="00BD5F90"/>
    <w:rsid w:val="00BE1A85"/>
    <w:rsid w:val="00BE6A73"/>
    <w:rsid w:val="00C213B8"/>
    <w:rsid w:val="00C22A7C"/>
    <w:rsid w:val="00C307D5"/>
    <w:rsid w:val="00C33ECC"/>
    <w:rsid w:val="00C474D4"/>
    <w:rsid w:val="00C74A96"/>
    <w:rsid w:val="00C80CA8"/>
    <w:rsid w:val="00CD4F1D"/>
    <w:rsid w:val="00D04738"/>
    <w:rsid w:val="00D14D7A"/>
    <w:rsid w:val="00D3474B"/>
    <w:rsid w:val="00D370C3"/>
    <w:rsid w:val="00D37DDF"/>
    <w:rsid w:val="00D404AE"/>
    <w:rsid w:val="00D62EF2"/>
    <w:rsid w:val="00D6594C"/>
    <w:rsid w:val="00DB2B7B"/>
    <w:rsid w:val="00DC18E1"/>
    <w:rsid w:val="00DE680A"/>
    <w:rsid w:val="00DE6FE6"/>
    <w:rsid w:val="00DF34FD"/>
    <w:rsid w:val="00E003AF"/>
    <w:rsid w:val="00E01562"/>
    <w:rsid w:val="00E203E4"/>
    <w:rsid w:val="00E44629"/>
    <w:rsid w:val="00E536C7"/>
    <w:rsid w:val="00E570F8"/>
    <w:rsid w:val="00EB4E35"/>
    <w:rsid w:val="00EB7396"/>
    <w:rsid w:val="00EC0AEE"/>
    <w:rsid w:val="00ED0C4B"/>
    <w:rsid w:val="00ED2ABF"/>
    <w:rsid w:val="00EF4011"/>
    <w:rsid w:val="00F01610"/>
    <w:rsid w:val="00F03BF7"/>
    <w:rsid w:val="00F03FBD"/>
    <w:rsid w:val="00F05524"/>
    <w:rsid w:val="00F11244"/>
    <w:rsid w:val="00F5251E"/>
    <w:rsid w:val="00F82B9A"/>
    <w:rsid w:val="00FA23D7"/>
    <w:rsid w:val="00FB55B3"/>
    <w:rsid w:val="00FD04F9"/>
    <w:rsid w:val="00FD167F"/>
    <w:rsid w:val="1654288D"/>
    <w:rsid w:val="5A792DB8"/>
    <w:rsid w:val="5D991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qFormat/>
    <w:uiPriority w:val="99"/>
    <w:pPr>
      <w:tabs>
        <w:tab w:val="center" w:pos="4153"/>
        <w:tab w:val="right" w:pos="8306"/>
      </w:tabs>
      <w:snapToGrid w:val="0"/>
      <w:jc w:val="left"/>
    </w:pPr>
    <w:rPr>
      <w:rFonts w:eastAsia="宋体"/>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rFonts w:eastAsia="宋体"/>
      <w:sz w:val="18"/>
      <w:szCs w:val="18"/>
    </w:rPr>
  </w:style>
  <w:style w:type="character" w:styleId="7">
    <w:name w:val="Hyperlink"/>
    <w:basedOn w:val="6"/>
    <w:unhideWhenUsed/>
    <w:qFormat/>
    <w:uiPriority w:val="99"/>
    <w:rPr>
      <w:color w:val="0000FF"/>
      <w:u w:val="single"/>
    </w:rPr>
  </w:style>
  <w:style w:type="character" w:customStyle="1" w:styleId="8">
    <w:name w:val="页眉 Char"/>
    <w:link w:val="4"/>
    <w:uiPriority w:val="0"/>
    <w:rPr>
      <w:kern w:val="2"/>
      <w:sz w:val="18"/>
      <w:szCs w:val="18"/>
    </w:rPr>
  </w:style>
  <w:style w:type="character" w:customStyle="1" w:styleId="9">
    <w:name w:val="页脚 Char"/>
    <w:link w:val="3"/>
    <w:qFormat/>
    <w:uiPriority w:val="99"/>
    <w:rPr>
      <w:kern w:val="2"/>
      <w:sz w:val="18"/>
      <w:szCs w:val="18"/>
    </w:rPr>
  </w:style>
  <w:style w:type="paragraph" w:styleId="10">
    <w:name w:val="List Paragraph"/>
    <w:basedOn w:val="1"/>
    <w:qFormat/>
    <w:uiPriority w:val="34"/>
    <w:pPr>
      <w:ind w:firstLine="420" w:firstLineChars="200"/>
    </w:pPr>
    <w:rPr>
      <w:rFonts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99E18-8241-483B-BD58-107FCA37B1C3}">
  <ds:schemaRefs/>
</ds:datastoreItem>
</file>

<file path=docProps/app.xml><?xml version="1.0" encoding="utf-8"?>
<Properties xmlns="http://schemas.openxmlformats.org/officeDocument/2006/extended-properties" xmlns:vt="http://schemas.openxmlformats.org/officeDocument/2006/docPropsVTypes">
  <Template>Normal</Template>
  <Pages>24</Pages>
  <Words>1545</Words>
  <Characters>8810</Characters>
  <Lines>73</Lines>
  <Paragraphs>20</Paragraphs>
  <TotalTime>21</TotalTime>
  <ScaleCrop>false</ScaleCrop>
  <LinksUpToDate>false</LinksUpToDate>
  <CharactersWithSpaces>10335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2017-02-20T07:16:00Z</dcterms:created>
  <dc:creator>scjw</dc:creator>
  <cp:lastModifiedBy>七秒记忆 </cp:lastModifiedBy>
  <cp:lastPrinted>2017-03-29T07:30:00Z</cp:lastPrinted>
  <dcterms:modified xsi:type="dcterms:W3CDTF">2020-04-23T02:44:06Z</dcterms:modified>
  <dc:title>四川省监察厅驻省经委监察室文件</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